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2D76" w14:textId="1F836BBD" w:rsidR="000D1D9D" w:rsidRPr="009F6CF4" w:rsidRDefault="000D1D9D" w:rsidP="000D1D9D">
      <w:pPr>
        <w:pStyle w:val="Heading2Unnumbered"/>
        <w:spacing w:line="480" w:lineRule="auto"/>
        <w:rPr>
          <w:szCs w:val="24"/>
        </w:rPr>
      </w:pPr>
      <w:r w:rsidRPr="009F6CF4">
        <w:rPr>
          <w:szCs w:val="24"/>
        </w:rPr>
        <w:t xml:space="preserve">Table </w:t>
      </w:r>
      <w:r w:rsidR="00F8427C">
        <w:rPr>
          <w:szCs w:val="24"/>
        </w:rPr>
        <w:t>S</w:t>
      </w:r>
      <w:r w:rsidR="003E3FB7">
        <w:rPr>
          <w:szCs w:val="24"/>
        </w:rPr>
        <w:t>1</w:t>
      </w:r>
      <w:r w:rsidRPr="009F6CF4">
        <w:rPr>
          <w:szCs w:val="24"/>
        </w:rPr>
        <w:t>. Estimation of Fraction Metabolized (</w:t>
      </w:r>
      <w:proofErr w:type="spellStart"/>
      <w:r w:rsidRPr="009F6CF4">
        <w:rPr>
          <w:szCs w:val="24"/>
        </w:rPr>
        <w:t>f</w:t>
      </w:r>
      <w:r w:rsidRPr="009F6CF4">
        <w:rPr>
          <w:szCs w:val="24"/>
          <w:vertAlign w:val="subscript"/>
        </w:rPr>
        <w:t>m</w:t>
      </w:r>
      <w:proofErr w:type="spellEnd"/>
      <w:r w:rsidRPr="009F6CF4">
        <w:rPr>
          <w:szCs w:val="24"/>
        </w:rPr>
        <w:t>) by CYP3A4 with SDD Formulation Using Retrograde Function in Simcyp</w:t>
      </w:r>
      <w:r w:rsidRPr="009F6CF4">
        <w:rPr>
          <w:rFonts w:eastAsia="Symbol"/>
          <w:szCs w:val="24"/>
          <w:vertAlign w:val="superscript"/>
        </w:rPr>
        <w:t>®</w:t>
      </w:r>
      <w:r w:rsidRPr="009F6CF4">
        <w:rPr>
          <w:szCs w:val="24"/>
        </w:rPr>
        <w:t>. Dosing regimen: nirmatrelvir 300 mg single dose, ritonavir 100 mg three does at -12, 0, 12 h.</w:t>
      </w:r>
    </w:p>
    <w:p w14:paraId="229BC709" w14:textId="77777777" w:rsidR="000D1D9D" w:rsidRDefault="000D1D9D" w:rsidP="000D1D9D">
      <w:pPr>
        <w:pStyle w:val="Paragraph"/>
      </w:pPr>
    </w:p>
    <w:tbl>
      <w:tblPr>
        <w:tblStyle w:val="PlainTable2"/>
        <w:tblW w:w="33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636"/>
        <w:gridCol w:w="1728"/>
        <w:gridCol w:w="1563"/>
        <w:gridCol w:w="1027"/>
        <w:gridCol w:w="1249"/>
      </w:tblGrid>
      <w:tr w:rsidR="000D1D9D" w:rsidRPr="004E2C17" w14:paraId="113DCAE2" w14:textId="77777777" w:rsidTr="00E934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  <w:jc w:val="center"/>
        </w:trPr>
        <w:tc>
          <w:tcPr>
            <w:tcW w:w="475" w:type="pct"/>
            <w:vMerge w:val="restart"/>
            <w:tcBorders>
              <w:bottom w:val="none" w:sz="0" w:space="0" w:color="auto"/>
            </w:tcBorders>
            <w:vAlign w:val="center"/>
          </w:tcPr>
          <w:p w14:paraId="4D2F5C77" w14:textId="77777777" w:rsidR="000D1D9D" w:rsidRPr="00E27292" w:rsidRDefault="000D1D9D" w:rsidP="00E93497">
            <w:pPr>
              <w:pStyle w:val="Paragraph"/>
              <w:jc w:val="center"/>
            </w:pPr>
            <w:proofErr w:type="spellStart"/>
            <w:r>
              <w:t>f</w:t>
            </w:r>
            <w:r w:rsidRPr="009766AA">
              <w:rPr>
                <w:vertAlign w:val="subscript"/>
              </w:rPr>
              <w:t>m</w:t>
            </w:r>
            <w:proofErr w:type="spellEnd"/>
          </w:p>
        </w:tc>
        <w:tc>
          <w:tcPr>
            <w:tcW w:w="1329" w:type="pct"/>
            <w:vMerge w:val="restart"/>
            <w:tcBorders>
              <w:bottom w:val="none" w:sz="0" w:space="0" w:color="auto"/>
            </w:tcBorders>
            <w:vAlign w:val="center"/>
          </w:tcPr>
          <w:p w14:paraId="2CFB23EA" w14:textId="753D16A5" w:rsidR="000D1D9D" w:rsidRPr="00E27292" w:rsidRDefault="000D1D9D" w:rsidP="00E93497">
            <w:pPr>
              <w:pStyle w:val="Paragraph"/>
              <w:jc w:val="center"/>
            </w:pPr>
            <w:r>
              <w:t>CL</w:t>
            </w:r>
            <w:r w:rsidRPr="00B72C9C">
              <w:rPr>
                <w:vertAlign w:val="subscript"/>
              </w:rPr>
              <w:t>int,</w:t>
            </w:r>
            <w:r w:rsidR="00827A30">
              <w:rPr>
                <w:vertAlign w:val="subscript"/>
              </w:rPr>
              <w:t>CYP</w:t>
            </w:r>
            <w:r w:rsidRPr="00B72C9C">
              <w:rPr>
                <w:vertAlign w:val="subscript"/>
              </w:rPr>
              <w:t xml:space="preserve">3A4 </w:t>
            </w:r>
            <w:r w:rsidRPr="00451BDC">
              <w:t>(µL/min/</w:t>
            </w:r>
            <w:proofErr w:type="spellStart"/>
            <w:r w:rsidRPr="00451BDC">
              <w:t>pmol</w:t>
            </w:r>
            <w:proofErr w:type="spellEnd"/>
            <w:r w:rsidRPr="00451BDC">
              <w:t>)</w:t>
            </w:r>
          </w:p>
        </w:tc>
        <w:tc>
          <w:tcPr>
            <w:tcW w:w="1066" w:type="pct"/>
            <w:vMerge w:val="restart"/>
            <w:tcBorders>
              <w:bottom w:val="none" w:sz="0" w:space="0" w:color="auto"/>
            </w:tcBorders>
            <w:vAlign w:val="center"/>
          </w:tcPr>
          <w:p w14:paraId="399D83F3" w14:textId="37AD7256" w:rsidR="000D1D9D" w:rsidRPr="00E27292" w:rsidRDefault="000D1D9D" w:rsidP="00E93497">
            <w:pPr>
              <w:pStyle w:val="Paragraph"/>
              <w:jc w:val="center"/>
            </w:pPr>
            <w:proofErr w:type="spellStart"/>
            <w:r>
              <w:t>CL</w:t>
            </w:r>
            <w:r w:rsidRPr="00B72C9C">
              <w:rPr>
                <w:vertAlign w:val="subscript"/>
              </w:rPr>
              <w:t>int,</w:t>
            </w:r>
            <w:r>
              <w:rPr>
                <w:vertAlign w:val="subscript"/>
              </w:rPr>
              <w:t>other</w:t>
            </w:r>
            <w:r w:rsidR="001C3AFF">
              <w:rPr>
                <w:vertAlign w:val="subscript"/>
              </w:rPr>
              <w:t>,HLM</w:t>
            </w:r>
            <w:proofErr w:type="spellEnd"/>
            <w:r w:rsidRPr="00B72C9C">
              <w:rPr>
                <w:vertAlign w:val="subscript"/>
              </w:rPr>
              <w:t xml:space="preserve"> </w:t>
            </w:r>
            <w:r>
              <w:t>(</w:t>
            </w:r>
            <w:proofErr w:type="spellStart"/>
            <w:r w:rsidRPr="00773634">
              <w:t>μL</w:t>
            </w:r>
            <w:proofErr w:type="spellEnd"/>
            <w:r w:rsidRPr="00773634">
              <w:t>/min/mg protein)</w:t>
            </w:r>
          </w:p>
        </w:tc>
        <w:tc>
          <w:tcPr>
            <w:tcW w:w="2130" w:type="pct"/>
            <w:gridSpan w:val="2"/>
            <w:tcBorders>
              <w:bottom w:val="none" w:sz="0" w:space="0" w:color="auto"/>
            </w:tcBorders>
            <w:vAlign w:val="center"/>
          </w:tcPr>
          <w:p w14:paraId="6ADBE71A" w14:textId="77777777" w:rsidR="000D1D9D" w:rsidRPr="004E2C17" w:rsidRDefault="000D1D9D" w:rsidP="00E93497">
            <w:pPr>
              <w:pStyle w:val="Paragraph"/>
              <w:jc w:val="center"/>
            </w:pPr>
            <w:r w:rsidRPr="004E2C17">
              <w:t>Pred</w:t>
            </w:r>
            <w:r>
              <w:t>icted</w:t>
            </w:r>
            <w:r w:rsidRPr="004E2C17">
              <w:t>/Obs</w:t>
            </w:r>
            <w:r>
              <w:t xml:space="preserve">erved </w:t>
            </w:r>
            <w:r w:rsidRPr="004E2C17">
              <w:t>Ratio</w:t>
            </w:r>
          </w:p>
        </w:tc>
      </w:tr>
      <w:tr w:rsidR="000D1D9D" w:rsidRPr="004E2C17" w14:paraId="4E300260" w14:textId="77777777" w:rsidTr="00E93497">
        <w:trPr>
          <w:trHeight w:val="361"/>
          <w:jc w:val="center"/>
        </w:trPr>
        <w:tc>
          <w:tcPr>
            <w:tcW w:w="475" w:type="pct"/>
            <w:vMerge/>
            <w:vAlign w:val="center"/>
          </w:tcPr>
          <w:p w14:paraId="0A9CEC17" w14:textId="77777777" w:rsidR="000D1D9D" w:rsidRDefault="000D1D9D" w:rsidP="00E93497">
            <w:pPr>
              <w:pStyle w:val="Paragraph"/>
              <w:jc w:val="center"/>
            </w:pPr>
          </w:p>
        </w:tc>
        <w:tc>
          <w:tcPr>
            <w:tcW w:w="1329" w:type="pct"/>
            <w:vMerge/>
            <w:vAlign w:val="center"/>
          </w:tcPr>
          <w:p w14:paraId="4119D35F" w14:textId="77777777" w:rsidR="000D1D9D" w:rsidRDefault="000D1D9D" w:rsidP="00E93497">
            <w:pPr>
              <w:pStyle w:val="Paragraph"/>
              <w:jc w:val="center"/>
            </w:pPr>
          </w:p>
        </w:tc>
        <w:tc>
          <w:tcPr>
            <w:tcW w:w="1066" w:type="pct"/>
            <w:vMerge/>
            <w:vAlign w:val="center"/>
          </w:tcPr>
          <w:p w14:paraId="16CEB303" w14:textId="77777777" w:rsidR="000D1D9D" w:rsidRDefault="000D1D9D" w:rsidP="00E93497">
            <w:pPr>
              <w:pStyle w:val="Paragraph"/>
              <w:jc w:val="center"/>
            </w:pPr>
          </w:p>
        </w:tc>
        <w:tc>
          <w:tcPr>
            <w:tcW w:w="969" w:type="pct"/>
            <w:vAlign w:val="center"/>
          </w:tcPr>
          <w:p w14:paraId="12B64938" w14:textId="77777777" w:rsidR="000D1D9D" w:rsidRPr="0084521B" w:rsidRDefault="000D1D9D" w:rsidP="00E93497">
            <w:pPr>
              <w:pStyle w:val="Paragraph"/>
              <w:jc w:val="center"/>
              <w:rPr>
                <w:b/>
                <w:bCs/>
              </w:rPr>
            </w:pPr>
            <w:proofErr w:type="spellStart"/>
            <w:r w:rsidRPr="0084521B">
              <w:rPr>
                <w:b/>
                <w:bCs/>
              </w:rPr>
              <w:t>C</w:t>
            </w:r>
            <w:r w:rsidRPr="0084521B">
              <w:rPr>
                <w:b/>
                <w:bCs/>
                <w:vertAlign w:val="subscript"/>
              </w:rPr>
              <w:t>max</w:t>
            </w:r>
            <w:proofErr w:type="spellEnd"/>
          </w:p>
        </w:tc>
        <w:tc>
          <w:tcPr>
            <w:tcW w:w="1161" w:type="pct"/>
            <w:vAlign w:val="center"/>
          </w:tcPr>
          <w:p w14:paraId="762395A0" w14:textId="77777777" w:rsidR="000D1D9D" w:rsidRPr="0084521B" w:rsidRDefault="000D1D9D" w:rsidP="00E93497">
            <w:pPr>
              <w:pStyle w:val="Paragraph"/>
              <w:jc w:val="center"/>
              <w:rPr>
                <w:b/>
                <w:bCs/>
              </w:rPr>
            </w:pPr>
            <w:r w:rsidRPr="0084521B">
              <w:rPr>
                <w:b/>
                <w:bCs/>
              </w:rPr>
              <w:t>AUC</w:t>
            </w:r>
            <w:r w:rsidRPr="0084521B">
              <w:rPr>
                <w:b/>
                <w:bCs/>
                <w:vertAlign w:val="subscript"/>
              </w:rPr>
              <w:t>inf</w:t>
            </w:r>
          </w:p>
        </w:tc>
      </w:tr>
      <w:tr w:rsidR="000D1D9D" w:rsidRPr="004E2C17" w14:paraId="7E2C85D3" w14:textId="77777777" w:rsidTr="00E93497">
        <w:trPr>
          <w:trHeight w:val="341"/>
          <w:jc w:val="center"/>
        </w:trPr>
        <w:tc>
          <w:tcPr>
            <w:tcW w:w="475" w:type="pct"/>
            <w:vAlign w:val="center"/>
          </w:tcPr>
          <w:p w14:paraId="22D80268" w14:textId="77777777" w:rsidR="000D1D9D" w:rsidRDefault="000D1D9D" w:rsidP="00E93497">
            <w:pPr>
              <w:pStyle w:val="Paragraph"/>
              <w:jc w:val="center"/>
            </w:pPr>
            <w:r>
              <w:t>0.80</w:t>
            </w:r>
          </w:p>
        </w:tc>
        <w:tc>
          <w:tcPr>
            <w:tcW w:w="1329" w:type="pct"/>
            <w:vAlign w:val="center"/>
          </w:tcPr>
          <w:p w14:paraId="53E107FA" w14:textId="77777777" w:rsidR="000D1D9D" w:rsidRPr="004E2C17" w:rsidRDefault="000D1D9D" w:rsidP="00E93497">
            <w:pPr>
              <w:pStyle w:val="Paragraph"/>
              <w:jc w:val="center"/>
            </w:pPr>
            <w:r>
              <w:t>0.139</w:t>
            </w:r>
          </w:p>
        </w:tc>
        <w:tc>
          <w:tcPr>
            <w:tcW w:w="1066" w:type="pct"/>
            <w:vAlign w:val="center"/>
          </w:tcPr>
          <w:p w14:paraId="7AFBE47F" w14:textId="77777777" w:rsidR="000D1D9D" w:rsidRPr="004E2C17" w:rsidRDefault="000D1D9D" w:rsidP="00E93497">
            <w:pPr>
              <w:pStyle w:val="Paragraph"/>
              <w:jc w:val="center"/>
            </w:pPr>
            <w:r>
              <w:t>4.30</w:t>
            </w:r>
          </w:p>
        </w:tc>
        <w:tc>
          <w:tcPr>
            <w:tcW w:w="969" w:type="pct"/>
            <w:vAlign w:val="center"/>
          </w:tcPr>
          <w:p w14:paraId="2C79E4CF" w14:textId="77777777" w:rsidR="000D1D9D" w:rsidRPr="004E2C17" w:rsidRDefault="000D1D9D" w:rsidP="00E93497">
            <w:pPr>
              <w:pStyle w:val="Paragraph"/>
              <w:jc w:val="center"/>
            </w:pPr>
            <w:r>
              <w:t>0.89</w:t>
            </w:r>
          </w:p>
        </w:tc>
        <w:tc>
          <w:tcPr>
            <w:tcW w:w="1161" w:type="pct"/>
            <w:vAlign w:val="center"/>
          </w:tcPr>
          <w:p w14:paraId="5B4B98AA" w14:textId="77777777" w:rsidR="000D1D9D" w:rsidRPr="004E2C17" w:rsidRDefault="000D1D9D" w:rsidP="00E93497">
            <w:pPr>
              <w:pStyle w:val="Paragraph"/>
              <w:jc w:val="center"/>
            </w:pPr>
            <w:r>
              <w:t>0.74</w:t>
            </w:r>
          </w:p>
        </w:tc>
      </w:tr>
      <w:tr w:rsidR="000D1D9D" w:rsidRPr="004E2C17" w14:paraId="237905AA" w14:textId="77777777" w:rsidTr="00E93497">
        <w:trPr>
          <w:trHeight w:val="315"/>
          <w:jc w:val="center"/>
        </w:trPr>
        <w:tc>
          <w:tcPr>
            <w:tcW w:w="475" w:type="pct"/>
            <w:vAlign w:val="center"/>
          </w:tcPr>
          <w:p w14:paraId="0D16E837" w14:textId="77777777" w:rsidR="000D1D9D" w:rsidRDefault="000D1D9D" w:rsidP="00E93497">
            <w:pPr>
              <w:pStyle w:val="Paragraph"/>
              <w:jc w:val="center"/>
            </w:pPr>
            <w:r>
              <w:t>0.85</w:t>
            </w:r>
          </w:p>
        </w:tc>
        <w:tc>
          <w:tcPr>
            <w:tcW w:w="1329" w:type="pct"/>
            <w:vAlign w:val="center"/>
          </w:tcPr>
          <w:p w14:paraId="42D7437F" w14:textId="77777777" w:rsidR="000D1D9D" w:rsidRPr="004E2C17" w:rsidRDefault="000D1D9D" w:rsidP="00E93497">
            <w:pPr>
              <w:pStyle w:val="Paragraph"/>
              <w:jc w:val="center"/>
            </w:pPr>
            <w:r>
              <w:t>0.148</w:t>
            </w:r>
          </w:p>
        </w:tc>
        <w:tc>
          <w:tcPr>
            <w:tcW w:w="1066" w:type="pct"/>
            <w:vAlign w:val="center"/>
          </w:tcPr>
          <w:p w14:paraId="57453DD8" w14:textId="77777777" w:rsidR="000D1D9D" w:rsidRPr="004E2C17" w:rsidRDefault="000D1D9D" w:rsidP="00E93497">
            <w:pPr>
              <w:pStyle w:val="Paragraph"/>
              <w:jc w:val="center"/>
            </w:pPr>
            <w:r>
              <w:t>3.23</w:t>
            </w:r>
          </w:p>
        </w:tc>
        <w:tc>
          <w:tcPr>
            <w:tcW w:w="969" w:type="pct"/>
            <w:vAlign w:val="center"/>
          </w:tcPr>
          <w:p w14:paraId="16627817" w14:textId="77777777" w:rsidR="000D1D9D" w:rsidRPr="004E2C17" w:rsidRDefault="000D1D9D" w:rsidP="00E93497">
            <w:pPr>
              <w:pStyle w:val="Paragraph"/>
              <w:jc w:val="center"/>
            </w:pPr>
            <w:r>
              <w:t>0.92</w:t>
            </w:r>
          </w:p>
        </w:tc>
        <w:tc>
          <w:tcPr>
            <w:tcW w:w="1161" w:type="pct"/>
            <w:vAlign w:val="center"/>
          </w:tcPr>
          <w:p w14:paraId="5AA5BE0E" w14:textId="77777777" w:rsidR="000D1D9D" w:rsidRPr="004E2C17" w:rsidRDefault="000D1D9D" w:rsidP="00E93497">
            <w:pPr>
              <w:pStyle w:val="Paragraph"/>
              <w:jc w:val="center"/>
            </w:pPr>
            <w:r>
              <w:t>0.87</w:t>
            </w:r>
          </w:p>
        </w:tc>
      </w:tr>
      <w:tr w:rsidR="000D1D9D" w:rsidRPr="004E2C17" w14:paraId="5B18E8DA" w14:textId="77777777" w:rsidTr="00E93497">
        <w:trPr>
          <w:trHeight w:val="207"/>
          <w:jc w:val="center"/>
        </w:trPr>
        <w:tc>
          <w:tcPr>
            <w:tcW w:w="475" w:type="pct"/>
            <w:vAlign w:val="center"/>
          </w:tcPr>
          <w:p w14:paraId="74DB17C8" w14:textId="77777777" w:rsidR="000D1D9D" w:rsidRPr="004E2C17" w:rsidRDefault="000D1D9D" w:rsidP="00E93497">
            <w:pPr>
              <w:pStyle w:val="Paragraph"/>
              <w:jc w:val="center"/>
            </w:pPr>
            <w:r>
              <w:t>0.99</w:t>
            </w:r>
          </w:p>
        </w:tc>
        <w:tc>
          <w:tcPr>
            <w:tcW w:w="1329" w:type="pct"/>
            <w:vAlign w:val="center"/>
          </w:tcPr>
          <w:p w14:paraId="142C495F" w14:textId="77777777" w:rsidR="000D1D9D" w:rsidRPr="004E2C17" w:rsidRDefault="000D1D9D" w:rsidP="00E93497">
            <w:pPr>
              <w:pStyle w:val="Paragraph"/>
              <w:jc w:val="center"/>
            </w:pPr>
            <w:r>
              <w:t>0.173</w:t>
            </w:r>
          </w:p>
        </w:tc>
        <w:tc>
          <w:tcPr>
            <w:tcW w:w="1066" w:type="pct"/>
            <w:vAlign w:val="center"/>
          </w:tcPr>
          <w:p w14:paraId="020782C7" w14:textId="77777777" w:rsidR="000D1D9D" w:rsidRPr="004E2C17" w:rsidRDefault="000D1D9D" w:rsidP="00E93497">
            <w:pPr>
              <w:pStyle w:val="Paragraph"/>
              <w:jc w:val="center"/>
            </w:pPr>
            <w:r>
              <w:t>0.215</w:t>
            </w:r>
          </w:p>
        </w:tc>
        <w:tc>
          <w:tcPr>
            <w:tcW w:w="969" w:type="pct"/>
            <w:vAlign w:val="center"/>
          </w:tcPr>
          <w:p w14:paraId="7530C7C8" w14:textId="77777777" w:rsidR="000D1D9D" w:rsidRPr="004E2C17" w:rsidRDefault="000D1D9D" w:rsidP="00E93497">
            <w:pPr>
              <w:pStyle w:val="Paragraph"/>
              <w:jc w:val="center"/>
            </w:pPr>
            <w:r>
              <w:t>1.05</w:t>
            </w:r>
          </w:p>
        </w:tc>
        <w:tc>
          <w:tcPr>
            <w:tcW w:w="1161" w:type="pct"/>
            <w:vAlign w:val="center"/>
          </w:tcPr>
          <w:p w14:paraId="6B6D4C67" w14:textId="77777777" w:rsidR="000D1D9D" w:rsidRDefault="000D1D9D" w:rsidP="00E93497">
            <w:pPr>
              <w:pStyle w:val="Paragraph"/>
              <w:jc w:val="center"/>
            </w:pPr>
            <w:r>
              <w:t>1.72</w:t>
            </w:r>
          </w:p>
        </w:tc>
      </w:tr>
    </w:tbl>
    <w:p w14:paraId="65A9E084" w14:textId="77777777" w:rsidR="000D1D9D" w:rsidRDefault="000D1D9D" w:rsidP="000D1D9D">
      <w:pPr>
        <w:pStyle w:val="Paragraph"/>
      </w:pPr>
    </w:p>
    <w:p w14:paraId="3BB19393" w14:textId="41170251" w:rsidR="002E729A" w:rsidRDefault="002E729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85F16F" w14:textId="2D1612D5" w:rsidR="00CB4EB6" w:rsidRDefault="00BE78E2" w:rsidP="00B66D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DFE">
        <w:rPr>
          <w:rFonts w:ascii="Times New Roman" w:hAnsi="Times New Roman" w:cs="Times New Roman"/>
          <w:b/>
          <w:bCs/>
          <w:sz w:val="24"/>
          <w:szCs w:val="24"/>
        </w:rPr>
        <w:t>Table S</w:t>
      </w:r>
      <w:r w:rsidR="003E3FB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66DF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66DFE" w:rsidRPr="00B66D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6DFE" w:rsidRPr="00A553BE">
        <w:rPr>
          <w:rFonts w:ascii="Times New Roman" w:hAnsi="Times New Roman" w:cs="Times New Roman"/>
          <w:b/>
          <w:bCs/>
          <w:sz w:val="24"/>
          <w:szCs w:val="24"/>
        </w:rPr>
        <w:t xml:space="preserve">Predicted </w:t>
      </w:r>
      <w:r w:rsidR="00A553BE" w:rsidRPr="00A553BE">
        <w:rPr>
          <w:rFonts w:ascii="Times New Roman" w:hAnsi="Times New Roman" w:cs="Times New Roman"/>
          <w:b/>
          <w:bCs/>
          <w:sz w:val="24"/>
          <w:szCs w:val="24"/>
        </w:rPr>
        <w:t>versus</w:t>
      </w:r>
      <w:r w:rsidR="00B66DFE" w:rsidRPr="00A553BE">
        <w:rPr>
          <w:rFonts w:ascii="Times New Roman" w:hAnsi="Times New Roman" w:cs="Times New Roman"/>
          <w:b/>
          <w:bCs/>
          <w:sz w:val="24"/>
          <w:szCs w:val="24"/>
        </w:rPr>
        <w:t xml:space="preserve"> Observed</w:t>
      </w:r>
      <w:r w:rsidR="00B66DFE" w:rsidRPr="00B66DFE">
        <w:rPr>
          <w:rFonts w:ascii="Times New Roman" w:hAnsi="Times New Roman" w:cs="Times New Roman"/>
          <w:b/>
          <w:bCs/>
          <w:sz w:val="24"/>
          <w:szCs w:val="24"/>
        </w:rPr>
        <w:t xml:space="preserve"> Exposure for Ritonavir</w:t>
      </w:r>
      <w:r w:rsidR="00C21D8C">
        <w:rPr>
          <w:rFonts w:ascii="Times New Roman" w:hAnsi="Times New Roman" w:cs="Times New Roman"/>
          <w:b/>
          <w:bCs/>
          <w:sz w:val="24"/>
          <w:szCs w:val="24"/>
        </w:rPr>
        <w:t xml:space="preserve"> in Paxlovid</w:t>
      </w:r>
    </w:p>
    <w:p w14:paraId="45C9AC9E" w14:textId="64EFFE4A" w:rsidR="00715983" w:rsidRDefault="00715983" w:rsidP="00B66D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99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2972"/>
        <w:gridCol w:w="720"/>
        <w:gridCol w:w="810"/>
        <w:gridCol w:w="990"/>
        <w:gridCol w:w="810"/>
        <w:gridCol w:w="990"/>
        <w:gridCol w:w="810"/>
        <w:gridCol w:w="1080"/>
      </w:tblGrid>
      <w:tr w:rsidR="00CC7D24" w:rsidRPr="00DA27B2" w14:paraId="39F426F7" w14:textId="686FA8D1" w:rsidTr="00AF5D11">
        <w:tc>
          <w:tcPr>
            <w:tcW w:w="808" w:type="dxa"/>
            <w:vMerge w:val="restart"/>
            <w:vAlign w:val="center"/>
          </w:tcPr>
          <w:p w14:paraId="2729B9C8" w14:textId="4D77188F" w:rsidR="00CC7D24" w:rsidRPr="00DA27B2" w:rsidRDefault="00C46B7A" w:rsidP="00E006BB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Dataset</w:t>
            </w:r>
          </w:p>
        </w:tc>
        <w:tc>
          <w:tcPr>
            <w:tcW w:w="2972" w:type="dxa"/>
            <w:vMerge w:val="restart"/>
            <w:vAlign w:val="center"/>
          </w:tcPr>
          <w:p w14:paraId="06C8FF2F" w14:textId="6E4510D9" w:rsidR="00CC7D24" w:rsidRPr="00DA27B2" w:rsidRDefault="00CC7D24" w:rsidP="00E006BB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A27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Dosing Regimen</w:t>
            </w:r>
          </w:p>
        </w:tc>
        <w:tc>
          <w:tcPr>
            <w:tcW w:w="720" w:type="dxa"/>
            <w:vMerge w:val="restart"/>
            <w:vAlign w:val="center"/>
          </w:tcPr>
          <w:p w14:paraId="1B5F6CDD" w14:textId="4931C0B5" w:rsidR="00CC7D24" w:rsidRPr="00DA27B2" w:rsidRDefault="00CC7D24" w:rsidP="00CC7D24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800" w:type="dxa"/>
            <w:gridSpan w:val="2"/>
            <w:vAlign w:val="center"/>
          </w:tcPr>
          <w:p w14:paraId="566D48B9" w14:textId="657A2EB9" w:rsidR="00CC7D24" w:rsidRPr="00DA27B2" w:rsidRDefault="00CC7D24" w:rsidP="00E006BB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A27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Observed</w:t>
            </w:r>
          </w:p>
        </w:tc>
        <w:tc>
          <w:tcPr>
            <w:tcW w:w="1800" w:type="dxa"/>
            <w:gridSpan w:val="2"/>
            <w:vAlign w:val="center"/>
          </w:tcPr>
          <w:p w14:paraId="441A246C" w14:textId="17B323BB" w:rsidR="00CC7D24" w:rsidRPr="00DA27B2" w:rsidRDefault="00CC7D24" w:rsidP="00E006BB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A27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Predicted</w:t>
            </w:r>
          </w:p>
        </w:tc>
        <w:tc>
          <w:tcPr>
            <w:tcW w:w="1890" w:type="dxa"/>
            <w:gridSpan w:val="2"/>
            <w:vAlign w:val="center"/>
          </w:tcPr>
          <w:p w14:paraId="1EAC53FC" w14:textId="7420CD0D" w:rsidR="00CC7D24" w:rsidRPr="00DA27B2" w:rsidRDefault="00CC7D24" w:rsidP="00E006BB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Pred</w:t>
            </w:r>
            <w:r w:rsidR="00A02B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icted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/Obs</w:t>
            </w:r>
            <w:r w:rsidR="00A02B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erved</w:t>
            </w:r>
          </w:p>
        </w:tc>
      </w:tr>
      <w:tr w:rsidR="00CC7D24" w:rsidRPr="00DA27B2" w14:paraId="388496D1" w14:textId="762A64CC" w:rsidTr="00AF5D11">
        <w:tc>
          <w:tcPr>
            <w:tcW w:w="808" w:type="dxa"/>
            <w:vMerge/>
            <w:vAlign w:val="center"/>
          </w:tcPr>
          <w:p w14:paraId="6687A280" w14:textId="77777777" w:rsidR="00CC7D24" w:rsidRPr="00DA27B2" w:rsidRDefault="00CC7D24" w:rsidP="00E006BB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2" w:type="dxa"/>
            <w:vMerge/>
            <w:vAlign w:val="center"/>
          </w:tcPr>
          <w:p w14:paraId="7C72015B" w14:textId="77777777" w:rsidR="00CC7D24" w:rsidRPr="00DA27B2" w:rsidRDefault="00CC7D24" w:rsidP="00E006BB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14:paraId="70B24688" w14:textId="77777777" w:rsidR="00CC7D24" w:rsidRPr="00DA27B2" w:rsidRDefault="00CC7D24" w:rsidP="00CC7D24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CAAFFBD" w14:textId="69EE2946" w:rsidR="00CC7D24" w:rsidRPr="00DA27B2" w:rsidRDefault="00CC7D24" w:rsidP="00E006BB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A27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052826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(ng/mL)</w:t>
            </w:r>
          </w:p>
        </w:tc>
        <w:tc>
          <w:tcPr>
            <w:tcW w:w="990" w:type="dxa"/>
            <w:vAlign w:val="center"/>
          </w:tcPr>
          <w:p w14:paraId="0721BCEC" w14:textId="508C6988" w:rsidR="00CC7D24" w:rsidRPr="00DA27B2" w:rsidRDefault="00CC7D24" w:rsidP="00E006BB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A27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AUC</w:t>
            </w:r>
            <w:r w:rsidRPr="00F928D3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</w:rPr>
              <w:sym w:font="Symbol" w:char="F074"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ng.h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/mL)</w:t>
            </w:r>
          </w:p>
        </w:tc>
        <w:tc>
          <w:tcPr>
            <w:tcW w:w="810" w:type="dxa"/>
            <w:vAlign w:val="center"/>
          </w:tcPr>
          <w:p w14:paraId="3459533F" w14:textId="59111CF4" w:rsidR="00CC7D24" w:rsidRPr="00DA27B2" w:rsidRDefault="00CC7D24" w:rsidP="00E006BB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A27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F928D3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(ng/mL)</w:t>
            </w:r>
          </w:p>
        </w:tc>
        <w:tc>
          <w:tcPr>
            <w:tcW w:w="990" w:type="dxa"/>
            <w:vAlign w:val="center"/>
          </w:tcPr>
          <w:p w14:paraId="61DB637D" w14:textId="032E3CC3" w:rsidR="00CC7D24" w:rsidRPr="00DA27B2" w:rsidRDefault="00CC7D24" w:rsidP="00E006BB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A27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AUC</w:t>
            </w:r>
            <w:r w:rsidRPr="00F928D3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</w:rPr>
              <w:sym w:font="Symbol" w:char="F074"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ng.h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/mL)</w:t>
            </w:r>
          </w:p>
        </w:tc>
        <w:tc>
          <w:tcPr>
            <w:tcW w:w="810" w:type="dxa"/>
            <w:vAlign w:val="center"/>
          </w:tcPr>
          <w:p w14:paraId="387B9DB9" w14:textId="079BF98A" w:rsidR="00CC7D24" w:rsidRPr="00DA27B2" w:rsidRDefault="00CC7D24" w:rsidP="00E006BB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A27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F928D3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5369CA36" w14:textId="05C0E0E1" w:rsidR="00CC7D24" w:rsidRPr="00DA27B2" w:rsidRDefault="00CC7D24" w:rsidP="00E006BB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A27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AUC</w:t>
            </w:r>
            <w:r w:rsidRPr="00F928D3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</w:rPr>
              <w:sym w:font="Symbol" w:char="F074"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 xml:space="preserve"> </w:t>
            </w:r>
          </w:p>
        </w:tc>
      </w:tr>
      <w:tr w:rsidR="00CC7D24" w:rsidRPr="00DA27B2" w14:paraId="1BB9ACF7" w14:textId="7253BF1F" w:rsidTr="00AF5D11">
        <w:tc>
          <w:tcPr>
            <w:tcW w:w="808" w:type="dxa"/>
            <w:vAlign w:val="center"/>
          </w:tcPr>
          <w:p w14:paraId="519A92B0" w14:textId="3777154F" w:rsidR="00CC7D24" w:rsidRPr="00602E71" w:rsidRDefault="00CC7D24" w:rsidP="00E006BB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71">
              <w:rPr>
                <w:rFonts w:ascii="Times New Roman" w:hAnsi="Times New Roman" w:cs="Times New Roman"/>
                <w:sz w:val="16"/>
                <w:szCs w:val="16"/>
              </w:rPr>
              <w:t>#2</w:t>
            </w:r>
          </w:p>
        </w:tc>
        <w:tc>
          <w:tcPr>
            <w:tcW w:w="2972" w:type="dxa"/>
            <w:vAlign w:val="center"/>
          </w:tcPr>
          <w:p w14:paraId="548A6978" w14:textId="5786CF9E" w:rsidR="00CC7D24" w:rsidRPr="00007548" w:rsidRDefault="005133C8" w:rsidP="00E006BB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3C8">
              <w:rPr>
                <w:rFonts w:ascii="Times New Roman" w:hAnsi="Times New Roman" w:cs="Times New Roman"/>
                <w:sz w:val="16"/>
                <w:szCs w:val="16"/>
              </w:rPr>
              <w:t>Nirmatrelvir</w:t>
            </w:r>
            <w:r w:rsidR="003D51F6" w:rsidRPr="005133C8">
              <w:rPr>
                <w:rFonts w:ascii="Times New Roman" w:hAnsi="Times New Roman" w:cs="Times New Roman"/>
                <w:sz w:val="16"/>
                <w:szCs w:val="16"/>
              </w:rPr>
              <w:t xml:space="preserve"> SDD</w:t>
            </w:r>
            <w:r w:rsidR="00CC7D24" w:rsidRPr="00007548">
              <w:rPr>
                <w:rFonts w:ascii="Times New Roman" w:hAnsi="Times New Roman" w:cs="Times New Roman"/>
                <w:sz w:val="16"/>
                <w:szCs w:val="16"/>
              </w:rPr>
              <w:t xml:space="preserve"> 300 mg SD</w:t>
            </w:r>
          </w:p>
          <w:p w14:paraId="31FA3DB5" w14:textId="63DB1778" w:rsidR="00CC7D24" w:rsidRPr="00007548" w:rsidRDefault="005133C8" w:rsidP="00E006BB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Ritonavir</w:t>
            </w:r>
            <w:r w:rsidR="00CC7D24" w:rsidRPr="00007548">
              <w:rPr>
                <w:rFonts w:ascii="Times New Roman" w:hAnsi="Times New Roman" w:cs="Times New Roman"/>
                <w:sz w:val="16"/>
                <w:szCs w:val="16"/>
              </w:rPr>
              <w:t xml:space="preserve"> 100 mg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7548">
              <w:rPr>
                <w:rFonts w:ascii="Times New Roman" w:hAnsi="Times New Roman" w:cs="Times New Roman"/>
                <w:sz w:val="16"/>
                <w:szCs w:val="16"/>
              </w:rPr>
              <w:t>3 Doses</w:t>
            </w:r>
            <w:r w:rsidR="00CC7D24" w:rsidRPr="000075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C20B0">
              <w:rPr>
                <w:rFonts w:ascii="Times New Roman" w:hAnsi="Times New Roman" w:cs="Times New Roman"/>
                <w:sz w:val="16"/>
                <w:szCs w:val="16"/>
              </w:rPr>
              <w:t xml:space="preserve">at </w:t>
            </w:r>
            <w:r w:rsidR="00CC7D24" w:rsidRPr="00007548">
              <w:rPr>
                <w:rFonts w:ascii="Times New Roman" w:hAnsi="Times New Roman" w:cs="Times New Roman"/>
                <w:sz w:val="16"/>
                <w:szCs w:val="16"/>
              </w:rPr>
              <w:t>-12, 0, 12 h</w:t>
            </w:r>
          </w:p>
        </w:tc>
        <w:tc>
          <w:tcPr>
            <w:tcW w:w="720" w:type="dxa"/>
            <w:vAlign w:val="center"/>
          </w:tcPr>
          <w:p w14:paraId="75910879" w14:textId="5E3C58E4" w:rsidR="00CC7D24" w:rsidRPr="000A110C" w:rsidRDefault="00CC7D24" w:rsidP="00CC7D24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10" w:type="dxa"/>
            <w:vAlign w:val="center"/>
          </w:tcPr>
          <w:p w14:paraId="681E2570" w14:textId="75771C99" w:rsidR="00CC7D24" w:rsidRPr="000A110C" w:rsidRDefault="00CC7D24" w:rsidP="00E006BB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10C">
              <w:rPr>
                <w:rFonts w:ascii="Times New Roman" w:hAnsi="Times New Roman" w:cs="Times New Roman"/>
                <w:sz w:val="16"/>
                <w:szCs w:val="16"/>
              </w:rPr>
              <w:t>1455</w:t>
            </w:r>
          </w:p>
        </w:tc>
        <w:tc>
          <w:tcPr>
            <w:tcW w:w="990" w:type="dxa"/>
            <w:vAlign w:val="center"/>
          </w:tcPr>
          <w:p w14:paraId="678F2DF9" w14:textId="1DE78A15" w:rsidR="00CC7D24" w:rsidRPr="000A110C" w:rsidRDefault="00CC7D24" w:rsidP="00E006BB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10C">
              <w:rPr>
                <w:rFonts w:ascii="Times New Roman" w:hAnsi="Times New Roman" w:cs="Times New Roman"/>
                <w:sz w:val="16"/>
                <w:szCs w:val="16"/>
              </w:rPr>
              <w:t>9209</w:t>
            </w:r>
          </w:p>
        </w:tc>
        <w:tc>
          <w:tcPr>
            <w:tcW w:w="810" w:type="dxa"/>
            <w:vAlign w:val="center"/>
          </w:tcPr>
          <w:p w14:paraId="7AE3A60F" w14:textId="56A90D16" w:rsidR="00CC7D24" w:rsidRPr="000A110C" w:rsidRDefault="00CC7D24" w:rsidP="00E006BB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1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869</w:t>
            </w:r>
          </w:p>
        </w:tc>
        <w:tc>
          <w:tcPr>
            <w:tcW w:w="990" w:type="dxa"/>
            <w:vAlign w:val="center"/>
          </w:tcPr>
          <w:p w14:paraId="0A669047" w14:textId="2E67ED72" w:rsidR="00CC7D24" w:rsidRPr="000A110C" w:rsidRDefault="00CC7D24" w:rsidP="00E006BB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1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6900</w:t>
            </w:r>
          </w:p>
        </w:tc>
        <w:tc>
          <w:tcPr>
            <w:tcW w:w="810" w:type="dxa"/>
            <w:vAlign w:val="center"/>
          </w:tcPr>
          <w:p w14:paraId="29FABDF5" w14:textId="640CE9D5" w:rsidR="00CC7D24" w:rsidRPr="000A110C" w:rsidRDefault="00CC7D24" w:rsidP="00E006BB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1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080" w:type="dxa"/>
            <w:vAlign w:val="center"/>
          </w:tcPr>
          <w:p w14:paraId="11D80AA4" w14:textId="5E736BCA" w:rsidR="00CC7D24" w:rsidRPr="000A110C" w:rsidRDefault="00CC7D24" w:rsidP="00E006BB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1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0.75</w:t>
            </w:r>
          </w:p>
        </w:tc>
      </w:tr>
      <w:tr w:rsidR="00CC7D24" w:rsidRPr="00DA27B2" w14:paraId="65072F2A" w14:textId="63BC73CE" w:rsidTr="00AF5D11">
        <w:tc>
          <w:tcPr>
            <w:tcW w:w="808" w:type="dxa"/>
            <w:vAlign w:val="center"/>
          </w:tcPr>
          <w:p w14:paraId="3D2D49E9" w14:textId="3D29049A" w:rsidR="00CC7D24" w:rsidRPr="00602E71" w:rsidRDefault="00CC7D24" w:rsidP="00E006BB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71">
              <w:rPr>
                <w:rFonts w:ascii="Times New Roman" w:hAnsi="Times New Roman" w:cs="Times New Roman"/>
                <w:sz w:val="16"/>
                <w:szCs w:val="16"/>
              </w:rPr>
              <w:t>#3</w:t>
            </w:r>
          </w:p>
        </w:tc>
        <w:tc>
          <w:tcPr>
            <w:tcW w:w="2972" w:type="dxa"/>
            <w:vAlign w:val="center"/>
          </w:tcPr>
          <w:p w14:paraId="31A60F52" w14:textId="096EBAC0" w:rsidR="00CC7D24" w:rsidRPr="00007548" w:rsidRDefault="005133C8" w:rsidP="00E006BB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3C8">
              <w:rPr>
                <w:rFonts w:ascii="Times New Roman" w:hAnsi="Times New Roman" w:cs="Times New Roman"/>
                <w:sz w:val="16"/>
                <w:szCs w:val="16"/>
              </w:rPr>
              <w:t>Nirmatrelvir</w:t>
            </w:r>
            <w:r w:rsidR="00CC7D24" w:rsidRPr="000075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D51F6">
              <w:rPr>
                <w:rFonts w:ascii="Times New Roman" w:hAnsi="Times New Roman" w:cs="Times New Roman"/>
                <w:sz w:val="16"/>
                <w:szCs w:val="16"/>
              </w:rPr>
              <w:t xml:space="preserve">Tablet </w:t>
            </w:r>
            <w:r w:rsidR="00CC7D24" w:rsidRPr="00007548">
              <w:rPr>
                <w:rFonts w:ascii="Times New Roman" w:hAnsi="Times New Roman" w:cs="Times New Roman"/>
                <w:sz w:val="16"/>
                <w:szCs w:val="16"/>
              </w:rPr>
              <w:t>300 mg SD</w:t>
            </w:r>
          </w:p>
          <w:p w14:paraId="0D7942BE" w14:textId="193756A6" w:rsidR="00CC7D24" w:rsidRPr="00007548" w:rsidRDefault="005133C8" w:rsidP="00E006BB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Ritonavir</w:t>
            </w:r>
            <w:r w:rsidR="00CC7D24" w:rsidRPr="00007548">
              <w:rPr>
                <w:rFonts w:ascii="Times New Roman" w:hAnsi="Times New Roman" w:cs="Times New Roman"/>
                <w:sz w:val="16"/>
                <w:szCs w:val="16"/>
              </w:rPr>
              <w:t xml:space="preserve"> 100 mg 3 Doses at -12, 0, 12 h</w:t>
            </w:r>
          </w:p>
        </w:tc>
        <w:tc>
          <w:tcPr>
            <w:tcW w:w="720" w:type="dxa"/>
            <w:vAlign w:val="center"/>
          </w:tcPr>
          <w:p w14:paraId="65EE4E99" w14:textId="2A11C7F0" w:rsidR="00CC7D24" w:rsidRPr="000A110C" w:rsidRDefault="00CC7D24" w:rsidP="00CC7D24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10" w:type="dxa"/>
            <w:vAlign w:val="center"/>
          </w:tcPr>
          <w:p w14:paraId="0002375D" w14:textId="30F9458F" w:rsidR="00CC7D24" w:rsidRPr="000A110C" w:rsidRDefault="00CC7D24" w:rsidP="00E006BB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1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1542</w:t>
            </w:r>
          </w:p>
        </w:tc>
        <w:tc>
          <w:tcPr>
            <w:tcW w:w="990" w:type="dxa"/>
            <w:vAlign w:val="center"/>
          </w:tcPr>
          <w:p w14:paraId="70129112" w14:textId="63E2EC9E" w:rsidR="00CC7D24" w:rsidRPr="000A110C" w:rsidRDefault="00CC7D24" w:rsidP="00E006BB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1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9419</w:t>
            </w:r>
          </w:p>
        </w:tc>
        <w:tc>
          <w:tcPr>
            <w:tcW w:w="810" w:type="dxa"/>
            <w:vAlign w:val="center"/>
          </w:tcPr>
          <w:p w14:paraId="135458C7" w14:textId="139C5B11" w:rsidR="00CC7D24" w:rsidRPr="000A110C" w:rsidRDefault="00CC7D24" w:rsidP="00E006BB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1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864</w:t>
            </w:r>
          </w:p>
        </w:tc>
        <w:tc>
          <w:tcPr>
            <w:tcW w:w="990" w:type="dxa"/>
            <w:vAlign w:val="center"/>
          </w:tcPr>
          <w:p w14:paraId="25DE87A9" w14:textId="705E63B4" w:rsidR="00CC7D24" w:rsidRPr="000A110C" w:rsidRDefault="00CC7D24" w:rsidP="00E006BB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1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6862</w:t>
            </w:r>
          </w:p>
        </w:tc>
        <w:tc>
          <w:tcPr>
            <w:tcW w:w="810" w:type="dxa"/>
            <w:vAlign w:val="center"/>
          </w:tcPr>
          <w:p w14:paraId="0512C879" w14:textId="7023E9FF" w:rsidR="00CC7D24" w:rsidRPr="000A110C" w:rsidRDefault="00CC7D24" w:rsidP="00E006BB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1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1080" w:type="dxa"/>
            <w:vAlign w:val="center"/>
          </w:tcPr>
          <w:p w14:paraId="4FB37EA0" w14:textId="2CD4D459" w:rsidR="00CC7D24" w:rsidRPr="000A110C" w:rsidRDefault="00CC7D24" w:rsidP="00E006BB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1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0.73</w:t>
            </w:r>
          </w:p>
        </w:tc>
      </w:tr>
      <w:tr w:rsidR="00CC7D24" w:rsidRPr="00DA27B2" w14:paraId="20C5E2EA" w14:textId="49D87F24" w:rsidTr="00AF5D11">
        <w:tc>
          <w:tcPr>
            <w:tcW w:w="808" w:type="dxa"/>
            <w:vAlign w:val="center"/>
          </w:tcPr>
          <w:p w14:paraId="5FA9571E" w14:textId="4CE30D5F" w:rsidR="00CC7D24" w:rsidRPr="00602E71" w:rsidRDefault="00CC7D24" w:rsidP="00E006BB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71">
              <w:rPr>
                <w:rFonts w:ascii="Times New Roman" w:hAnsi="Times New Roman" w:cs="Times New Roman"/>
                <w:sz w:val="16"/>
                <w:szCs w:val="16"/>
              </w:rPr>
              <w:t>#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2" w:type="dxa"/>
            <w:vAlign w:val="center"/>
          </w:tcPr>
          <w:p w14:paraId="76AA5CD9" w14:textId="3BA7539F" w:rsidR="00CC7D24" w:rsidRPr="00AF5D11" w:rsidRDefault="00FA52B6" w:rsidP="00E006BB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3C8">
              <w:rPr>
                <w:rFonts w:ascii="Times New Roman" w:hAnsi="Times New Roman" w:cs="Times New Roman"/>
                <w:sz w:val="16"/>
                <w:szCs w:val="16"/>
              </w:rPr>
              <w:t>Nirmatrelvir</w:t>
            </w:r>
            <w:r w:rsidRPr="000075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D51F6" w:rsidRPr="00AF5D11">
              <w:rPr>
                <w:rFonts w:ascii="Times New Roman" w:hAnsi="Times New Roman" w:cs="Times New Roman"/>
                <w:sz w:val="16"/>
                <w:szCs w:val="16"/>
              </w:rPr>
              <w:t xml:space="preserve">Tablet </w:t>
            </w:r>
            <w:r w:rsidR="00CC7D24" w:rsidRPr="00AF5D11">
              <w:rPr>
                <w:rFonts w:ascii="Times New Roman" w:hAnsi="Times New Roman" w:cs="Times New Roman"/>
                <w:sz w:val="16"/>
                <w:szCs w:val="16"/>
              </w:rPr>
              <w:t xml:space="preserve">300 mg BID </w:t>
            </w:r>
            <w:r w:rsidR="003E409D" w:rsidRPr="00AF5D11">
              <w:rPr>
                <w:rFonts w:ascii="Times New Roman" w:hAnsi="Times New Roman" w:cs="Times New Roman"/>
                <w:sz w:val="16"/>
                <w:szCs w:val="16"/>
              </w:rPr>
              <w:t>5 d</w:t>
            </w:r>
            <w:r w:rsidR="00FE6AAA" w:rsidRPr="00AF5D11">
              <w:rPr>
                <w:rFonts w:ascii="Times New Roman" w:hAnsi="Times New Roman" w:cs="Times New Roman"/>
                <w:sz w:val="16"/>
                <w:szCs w:val="16"/>
              </w:rPr>
              <w:t>ays</w:t>
            </w:r>
            <w:r w:rsidR="000530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530B5" w:rsidRPr="000530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</w:p>
          <w:p w14:paraId="6EB61143" w14:textId="2F4CBC26" w:rsidR="003E409D" w:rsidRDefault="00FA52B6" w:rsidP="003E409D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D11">
              <w:rPr>
                <w:rFonts w:ascii="Times New Roman" w:hAnsi="Times New Roman" w:cs="Times New Roman"/>
                <w:sz w:val="16"/>
                <w:szCs w:val="16"/>
              </w:rPr>
              <w:t>Ritonavir</w:t>
            </w:r>
            <w:r w:rsidR="00CC7D24" w:rsidRPr="00AF5D11">
              <w:rPr>
                <w:rFonts w:ascii="Times New Roman" w:hAnsi="Times New Roman" w:cs="Times New Roman"/>
                <w:sz w:val="16"/>
                <w:szCs w:val="16"/>
              </w:rPr>
              <w:t xml:space="preserve"> 100 mg BID</w:t>
            </w:r>
            <w:r w:rsidR="003E409D" w:rsidRPr="00AF5D11">
              <w:rPr>
                <w:rFonts w:ascii="Times New Roman" w:hAnsi="Times New Roman" w:cs="Times New Roman"/>
                <w:sz w:val="16"/>
                <w:szCs w:val="16"/>
              </w:rPr>
              <w:t xml:space="preserve"> 5 days</w:t>
            </w:r>
            <w:r w:rsidR="000530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530B5" w:rsidRPr="000530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="00CC7D24" w:rsidRPr="00AF5D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E7FF336" w14:textId="29EC6ADB" w:rsidR="00C4650C" w:rsidRPr="00007548" w:rsidRDefault="00453622" w:rsidP="003E409D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Midazolam 2 mg </w:t>
            </w:r>
            <w:r w:rsidR="00FE6AAA">
              <w:rPr>
                <w:rFonts w:ascii="Times New Roman" w:hAnsi="Times New Roman" w:cs="Times New Roman"/>
                <w:sz w:val="16"/>
                <w:szCs w:val="16"/>
              </w:rPr>
              <w:t xml:space="preserve">SD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on Day</w:t>
            </w:r>
            <w:r w:rsidR="00FE6AAA"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</w:p>
        </w:tc>
        <w:tc>
          <w:tcPr>
            <w:tcW w:w="720" w:type="dxa"/>
            <w:vAlign w:val="center"/>
          </w:tcPr>
          <w:p w14:paraId="2671BE82" w14:textId="0B4328AC" w:rsidR="00CC7D24" w:rsidRPr="000A110C" w:rsidRDefault="00CC7D24" w:rsidP="00CC7D24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3536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14:paraId="0DA24C3E" w14:textId="6F262BF8" w:rsidR="00CC7D24" w:rsidRPr="000A110C" w:rsidRDefault="00CC7D24" w:rsidP="00E006BB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1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1318</w:t>
            </w:r>
          </w:p>
        </w:tc>
        <w:tc>
          <w:tcPr>
            <w:tcW w:w="990" w:type="dxa"/>
            <w:vAlign w:val="center"/>
          </w:tcPr>
          <w:p w14:paraId="2653901C" w14:textId="2780A5D8" w:rsidR="00CC7D24" w:rsidRPr="000A110C" w:rsidRDefault="00CC7D24" w:rsidP="00E006BB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1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7279</w:t>
            </w:r>
          </w:p>
        </w:tc>
        <w:tc>
          <w:tcPr>
            <w:tcW w:w="810" w:type="dxa"/>
            <w:vAlign w:val="center"/>
          </w:tcPr>
          <w:p w14:paraId="6ECC54BE" w14:textId="2C537B37" w:rsidR="00CC7D24" w:rsidRPr="000A110C" w:rsidRDefault="00CC7D24" w:rsidP="00E006BB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1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D47B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90" w:type="dxa"/>
            <w:vAlign w:val="center"/>
          </w:tcPr>
          <w:p w14:paraId="2FDBDD4F" w14:textId="3361DD17" w:rsidR="00CC7D24" w:rsidRPr="000A110C" w:rsidRDefault="00D47BBF" w:rsidP="00E006BB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7967</w:t>
            </w:r>
          </w:p>
        </w:tc>
        <w:tc>
          <w:tcPr>
            <w:tcW w:w="810" w:type="dxa"/>
            <w:vAlign w:val="center"/>
          </w:tcPr>
          <w:p w14:paraId="1663941E" w14:textId="4021397D" w:rsidR="00CC7D24" w:rsidRPr="000A110C" w:rsidRDefault="00353688" w:rsidP="00E006BB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1080" w:type="dxa"/>
            <w:vAlign w:val="center"/>
          </w:tcPr>
          <w:p w14:paraId="11925EC6" w14:textId="5B25E091" w:rsidR="00CC7D24" w:rsidRPr="000A110C" w:rsidRDefault="00CC7D24" w:rsidP="00E006BB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1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  <w:r w:rsidR="003536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</w:tr>
      <w:tr w:rsidR="007C071D" w:rsidRPr="00DA27B2" w14:paraId="4D288CFA" w14:textId="77777777" w:rsidTr="00AF5D11">
        <w:tc>
          <w:tcPr>
            <w:tcW w:w="808" w:type="dxa"/>
            <w:vAlign w:val="center"/>
          </w:tcPr>
          <w:p w14:paraId="664FF137" w14:textId="2BB47A20" w:rsidR="007C071D" w:rsidRPr="00602E71" w:rsidRDefault="007C071D" w:rsidP="007C071D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71">
              <w:rPr>
                <w:rFonts w:ascii="Times New Roman" w:hAnsi="Times New Roman" w:cs="Times New Roman"/>
                <w:sz w:val="16"/>
                <w:szCs w:val="16"/>
              </w:rPr>
              <w:t>#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2" w:type="dxa"/>
            <w:vAlign w:val="center"/>
          </w:tcPr>
          <w:p w14:paraId="23E5C93D" w14:textId="0010A2CE" w:rsidR="007C071D" w:rsidRPr="00007548" w:rsidRDefault="00FA52B6" w:rsidP="007C071D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3C8">
              <w:rPr>
                <w:rFonts w:ascii="Times New Roman" w:hAnsi="Times New Roman" w:cs="Times New Roman"/>
                <w:sz w:val="16"/>
                <w:szCs w:val="16"/>
              </w:rPr>
              <w:t>Nirmatrelvir</w:t>
            </w:r>
            <w:r w:rsidR="003D51F6">
              <w:rPr>
                <w:rFonts w:ascii="Times New Roman" w:hAnsi="Times New Roman" w:cs="Times New Roman"/>
                <w:sz w:val="16"/>
                <w:szCs w:val="16"/>
              </w:rPr>
              <w:t xml:space="preserve"> Tablet</w:t>
            </w:r>
            <w:r w:rsidR="007C071D" w:rsidRPr="00007548">
              <w:rPr>
                <w:rFonts w:ascii="Times New Roman" w:hAnsi="Times New Roman" w:cs="Times New Roman"/>
                <w:sz w:val="16"/>
                <w:szCs w:val="16"/>
              </w:rPr>
              <w:t xml:space="preserve"> 300 mg BID </w:t>
            </w:r>
            <w:r w:rsidR="00FE6AAA">
              <w:rPr>
                <w:rFonts w:ascii="Times New Roman" w:hAnsi="Times New Roman" w:cs="Times New Roman"/>
                <w:sz w:val="16"/>
                <w:szCs w:val="16"/>
              </w:rPr>
              <w:t>2 days</w:t>
            </w:r>
            <w:r w:rsidR="000530B5" w:rsidRPr="000530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="000530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</w:p>
          <w:p w14:paraId="7482A2DD" w14:textId="222B62CB" w:rsidR="007C071D" w:rsidRDefault="00FA52B6" w:rsidP="007C071D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D11">
              <w:rPr>
                <w:rFonts w:ascii="Times New Roman" w:hAnsi="Times New Roman" w:cs="Times New Roman"/>
                <w:sz w:val="16"/>
                <w:szCs w:val="16"/>
              </w:rPr>
              <w:t>Ritonavir</w:t>
            </w:r>
            <w:r w:rsidR="007C071D" w:rsidRPr="00AF5D11">
              <w:rPr>
                <w:rFonts w:ascii="Times New Roman" w:hAnsi="Times New Roman" w:cs="Times New Roman"/>
                <w:sz w:val="16"/>
                <w:szCs w:val="16"/>
              </w:rPr>
              <w:t xml:space="preserve"> 100 mg BID </w:t>
            </w:r>
            <w:r w:rsidR="00FE6AAA" w:rsidRPr="00AF5D11">
              <w:rPr>
                <w:rFonts w:ascii="Times New Roman" w:hAnsi="Times New Roman" w:cs="Times New Roman"/>
                <w:sz w:val="16"/>
                <w:szCs w:val="16"/>
              </w:rPr>
              <w:t>2 days</w:t>
            </w:r>
            <w:r w:rsidR="000530B5" w:rsidRPr="000530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="000530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</w:p>
          <w:p w14:paraId="4165DF1C" w14:textId="46BA677D" w:rsidR="00FE6AAA" w:rsidRPr="00007548" w:rsidRDefault="00E76519" w:rsidP="007C071D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E76519">
              <w:rPr>
                <w:rFonts w:ascii="Times New Roman" w:hAnsi="Times New Roman" w:cs="Times New Roman"/>
                <w:sz w:val="16"/>
                <w:szCs w:val="16"/>
              </w:rPr>
              <w:t xml:space="preserve">abigatran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76519">
              <w:rPr>
                <w:rFonts w:ascii="Times New Roman" w:hAnsi="Times New Roman" w:cs="Times New Roman"/>
                <w:sz w:val="16"/>
                <w:szCs w:val="16"/>
              </w:rPr>
              <w:t>texilate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="00FE6AAA">
              <w:rPr>
                <w:rFonts w:ascii="Times New Roman" w:hAnsi="Times New Roman" w:cs="Times New Roman"/>
                <w:sz w:val="16"/>
                <w:szCs w:val="16"/>
              </w:rPr>
              <w:t xml:space="preserve"> mg SD on Day 5</w:t>
            </w:r>
          </w:p>
        </w:tc>
        <w:tc>
          <w:tcPr>
            <w:tcW w:w="720" w:type="dxa"/>
            <w:vAlign w:val="center"/>
          </w:tcPr>
          <w:p w14:paraId="0390248F" w14:textId="65719E80" w:rsidR="007C071D" w:rsidRPr="000A110C" w:rsidRDefault="007C071D" w:rsidP="007C071D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10" w:type="dxa"/>
            <w:vAlign w:val="center"/>
          </w:tcPr>
          <w:p w14:paraId="7C2D069E" w14:textId="08A6D6EE" w:rsidR="007C071D" w:rsidRPr="000A110C" w:rsidRDefault="007C071D" w:rsidP="007C071D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10C">
              <w:rPr>
                <w:rFonts w:ascii="Times New Roman" w:hAnsi="Times New Roman" w:cs="Times New Roman"/>
                <w:sz w:val="16"/>
                <w:szCs w:val="16"/>
              </w:rPr>
              <w:t>1461</w:t>
            </w:r>
          </w:p>
        </w:tc>
        <w:tc>
          <w:tcPr>
            <w:tcW w:w="990" w:type="dxa"/>
            <w:vAlign w:val="center"/>
          </w:tcPr>
          <w:p w14:paraId="6663C63F" w14:textId="77777777" w:rsidR="007C071D" w:rsidRPr="000A110C" w:rsidRDefault="007C071D" w:rsidP="007C071D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10C">
              <w:rPr>
                <w:rFonts w:ascii="Times New Roman" w:hAnsi="Times New Roman" w:cs="Times New Roman"/>
                <w:sz w:val="16"/>
                <w:szCs w:val="16"/>
              </w:rPr>
              <w:t>8394</w:t>
            </w:r>
          </w:p>
        </w:tc>
        <w:tc>
          <w:tcPr>
            <w:tcW w:w="810" w:type="dxa"/>
            <w:vAlign w:val="center"/>
          </w:tcPr>
          <w:p w14:paraId="1CB939A1" w14:textId="7961D4DA" w:rsidR="007C071D" w:rsidRPr="007C071D" w:rsidRDefault="007C071D" w:rsidP="007C071D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07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934</w:t>
            </w:r>
          </w:p>
        </w:tc>
        <w:tc>
          <w:tcPr>
            <w:tcW w:w="990" w:type="dxa"/>
            <w:vAlign w:val="center"/>
          </w:tcPr>
          <w:p w14:paraId="08E487B2" w14:textId="76996017" w:rsidR="007C071D" w:rsidRPr="007C071D" w:rsidRDefault="007C071D" w:rsidP="007C071D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07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7391</w:t>
            </w:r>
          </w:p>
        </w:tc>
        <w:tc>
          <w:tcPr>
            <w:tcW w:w="810" w:type="dxa"/>
            <w:vAlign w:val="center"/>
          </w:tcPr>
          <w:p w14:paraId="42365F9A" w14:textId="6A388A97" w:rsidR="007C071D" w:rsidRPr="000A110C" w:rsidRDefault="007C071D" w:rsidP="007C071D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1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14:paraId="3AFE69AB" w14:textId="77777777" w:rsidR="007C071D" w:rsidRPr="000A110C" w:rsidRDefault="007C071D" w:rsidP="007C071D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11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0.88</w:t>
            </w:r>
          </w:p>
        </w:tc>
      </w:tr>
    </w:tbl>
    <w:p w14:paraId="1324156B" w14:textId="77777777" w:rsidR="00E538FD" w:rsidRPr="00332599" w:rsidRDefault="006550A2" w:rsidP="00E538FD">
      <w:pPr>
        <w:pStyle w:val="Paragraph"/>
        <w:ind w:left="360"/>
        <w:rPr>
          <w:sz w:val="20"/>
          <w:szCs w:val="20"/>
        </w:rPr>
      </w:pPr>
      <w:r w:rsidRPr="006550A2">
        <w:rPr>
          <w:sz w:val="16"/>
          <w:szCs w:val="16"/>
        </w:rPr>
        <w:t>SD, single dose; SDD, spray-dried dispersion</w:t>
      </w:r>
      <w:r w:rsidR="00A02B30">
        <w:rPr>
          <w:sz w:val="16"/>
          <w:szCs w:val="16"/>
        </w:rPr>
        <w:t>.</w:t>
      </w:r>
      <w:r w:rsidR="00E538FD">
        <w:rPr>
          <w:sz w:val="16"/>
          <w:szCs w:val="16"/>
        </w:rPr>
        <w:t xml:space="preserve"> </w:t>
      </w:r>
      <w:r w:rsidR="00E538FD" w:rsidRPr="00E538FD">
        <w:rPr>
          <w:sz w:val="16"/>
          <w:szCs w:val="16"/>
          <w:vertAlign w:val="superscript"/>
        </w:rPr>
        <w:t xml:space="preserve">a </w:t>
      </w:r>
      <w:r w:rsidR="00E538FD" w:rsidRPr="00E538FD">
        <w:rPr>
          <w:sz w:val="16"/>
          <w:szCs w:val="16"/>
        </w:rPr>
        <w:t xml:space="preserve">total 9 doses. </w:t>
      </w:r>
      <w:r w:rsidR="00E538FD" w:rsidRPr="00E538FD">
        <w:rPr>
          <w:sz w:val="16"/>
          <w:szCs w:val="16"/>
          <w:vertAlign w:val="superscript"/>
        </w:rPr>
        <w:t xml:space="preserve">b </w:t>
      </w:r>
      <w:r w:rsidR="00E538FD" w:rsidRPr="00E538FD">
        <w:rPr>
          <w:sz w:val="16"/>
          <w:szCs w:val="16"/>
        </w:rPr>
        <w:t>total 3 doses.</w:t>
      </w:r>
    </w:p>
    <w:p w14:paraId="6D6423AA" w14:textId="299BE52F" w:rsidR="007B110A" w:rsidRDefault="007B110A" w:rsidP="002C6337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Cs w:val="24"/>
        </w:rPr>
        <w:br w:type="page"/>
      </w:r>
      <w:r w:rsidR="0000108B" w:rsidRPr="00B2066F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S3.</w:t>
      </w:r>
      <w:r w:rsidR="0000108B">
        <w:rPr>
          <w:rFonts w:ascii="Times New Roman" w:hAnsi="Times New Roman" w:cs="Times New Roman"/>
          <w:b/>
          <w:bCs/>
          <w:sz w:val="24"/>
          <w:szCs w:val="24"/>
        </w:rPr>
        <w:t xml:space="preserve"> Simulations of </w:t>
      </w:r>
      <w:r w:rsidR="002C6337">
        <w:rPr>
          <w:rFonts w:ascii="Times New Roman" w:hAnsi="Times New Roman" w:cs="Times New Roman"/>
          <w:b/>
          <w:bCs/>
          <w:sz w:val="24"/>
          <w:szCs w:val="24"/>
        </w:rPr>
        <w:t xml:space="preserve">Drug-Drug Interactions </w:t>
      </w:r>
      <w:r w:rsidR="00725F59">
        <w:rPr>
          <w:rFonts w:ascii="Times New Roman" w:hAnsi="Times New Roman" w:cs="Times New Roman"/>
          <w:b/>
          <w:bCs/>
          <w:sz w:val="24"/>
          <w:szCs w:val="24"/>
        </w:rPr>
        <w:t xml:space="preserve">between </w:t>
      </w:r>
      <w:r w:rsidR="0000108B">
        <w:rPr>
          <w:rFonts w:ascii="Times New Roman" w:hAnsi="Times New Roman" w:cs="Times New Roman"/>
          <w:b/>
          <w:bCs/>
          <w:sz w:val="24"/>
          <w:szCs w:val="24"/>
        </w:rPr>
        <w:t>Moderate</w:t>
      </w:r>
      <w:r w:rsidR="000C4A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108B">
        <w:rPr>
          <w:rFonts w:ascii="Times New Roman" w:hAnsi="Times New Roman" w:cs="Times New Roman"/>
          <w:b/>
          <w:bCs/>
          <w:sz w:val="24"/>
          <w:szCs w:val="24"/>
        </w:rPr>
        <w:t>and Weak</w:t>
      </w:r>
      <w:r w:rsidR="002C6337">
        <w:rPr>
          <w:rFonts w:ascii="Times New Roman" w:hAnsi="Times New Roman" w:cs="Times New Roman"/>
          <w:b/>
          <w:bCs/>
          <w:sz w:val="24"/>
          <w:szCs w:val="24"/>
        </w:rPr>
        <w:t xml:space="preserve"> CYP3A Inducers </w:t>
      </w:r>
      <w:r w:rsidR="00725F59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="002C6337">
        <w:rPr>
          <w:rFonts w:ascii="Times New Roman" w:hAnsi="Times New Roman" w:cs="Times New Roman"/>
          <w:b/>
          <w:bCs/>
          <w:sz w:val="24"/>
          <w:szCs w:val="24"/>
        </w:rPr>
        <w:t xml:space="preserve"> Paxlovid</w:t>
      </w: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6300"/>
        <w:gridCol w:w="2070"/>
        <w:gridCol w:w="2160"/>
      </w:tblGrid>
      <w:tr w:rsidR="00DD23FF" w14:paraId="4681ED83" w14:textId="77777777" w:rsidTr="00B2066F">
        <w:tc>
          <w:tcPr>
            <w:tcW w:w="6300" w:type="dxa"/>
          </w:tcPr>
          <w:p w14:paraId="23F6EBD4" w14:textId="0DE0D19F" w:rsidR="00DD23FF" w:rsidRDefault="00DD23FF" w:rsidP="002C6337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Dosing</w:t>
            </w:r>
          </w:p>
        </w:tc>
        <w:tc>
          <w:tcPr>
            <w:tcW w:w="2070" w:type="dxa"/>
          </w:tcPr>
          <w:p w14:paraId="77665560" w14:textId="2A8662D0" w:rsidR="00452F03" w:rsidRDefault="008845A9" w:rsidP="002C6337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Nirmatrelvir</w:t>
            </w:r>
          </w:p>
          <w:p w14:paraId="52C1DDDC" w14:textId="3CE34F4F" w:rsidR="00DD23FF" w:rsidRDefault="00DD23FF" w:rsidP="002C6337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AUC</w:t>
            </w:r>
            <w:r w:rsidR="00E92B45" w:rsidRPr="00B2066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vertAlign w:val="subscript"/>
              </w:rPr>
              <w:sym w:font="Symbol" w:char="F074"/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R (</w:t>
            </w:r>
            <w:r w:rsidR="00BD14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90%CI)</w:t>
            </w:r>
          </w:p>
        </w:tc>
        <w:tc>
          <w:tcPr>
            <w:tcW w:w="2160" w:type="dxa"/>
          </w:tcPr>
          <w:p w14:paraId="0021AF77" w14:textId="77777777" w:rsidR="008845A9" w:rsidRDefault="008845A9" w:rsidP="008845A9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Nirmatrelvir</w:t>
            </w:r>
          </w:p>
          <w:p w14:paraId="72692373" w14:textId="31987F6E" w:rsidR="00DD23FF" w:rsidRDefault="00BD149E" w:rsidP="002C6337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C</w:t>
            </w:r>
            <w:r w:rsidRPr="00B2066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vertAlign w:val="subscript"/>
              </w:rPr>
              <w:t>max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(90%CI)</w:t>
            </w:r>
          </w:p>
        </w:tc>
      </w:tr>
      <w:tr w:rsidR="00DD23FF" w14:paraId="00C9EC8E" w14:textId="77777777" w:rsidTr="00B2066F">
        <w:tc>
          <w:tcPr>
            <w:tcW w:w="6300" w:type="dxa"/>
          </w:tcPr>
          <w:p w14:paraId="46E8E1AF" w14:textId="6479CFF8" w:rsidR="00DD23FF" w:rsidRPr="00B2066F" w:rsidRDefault="00E11CF3" w:rsidP="002C6337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066F">
              <w:rPr>
                <w:rFonts w:ascii="Times New Roman" w:eastAsiaTheme="minorEastAsia" w:hAnsi="Times New Roman" w:cs="Times New Roman"/>
                <w:sz w:val="24"/>
                <w:szCs w:val="24"/>
              </w:rPr>
              <w:t>Efavirenz</w:t>
            </w:r>
            <w:r w:rsidR="00F24CE1" w:rsidRPr="00B2066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600 mg </w:t>
            </w:r>
            <w:r w:rsidR="00C26D3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(moderate CYP3A inducer) </w:t>
            </w:r>
            <w:r w:rsidR="00F24CE1" w:rsidRPr="00B2066F">
              <w:rPr>
                <w:rFonts w:ascii="Times New Roman" w:eastAsiaTheme="minorEastAsia" w:hAnsi="Times New Roman" w:cs="Times New Roman"/>
                <w:sz w:val="24"/>
                <w:szCs w:val="24"/>
              </w:rPr>
              <w:t>QD for 19 days</w:t>
            </w:r>
          </w:p>
          <w:p w14:paraId="01818273" w14:textId="114BB620" w:rsidR="00F24CE1" w:rsidRDefault="00F24CE1" w:rsidP="002C6337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2066F">
              <w:rPr>
                <w:rFonts w:ascii="Times New Roman" w:eastAsiaTheme="minorEastAsia" w:hAnsi="Times New Roman" w:cs="Times New Roman"/>
                <w:sz w:val="24"/>
                <w:szCs w:val="24"/>
              </w:rPr>
              <w:t>Paxlovid</w:t>
            </w:r>
            <w:r w:rsidR="0036637B" w:rsidRPr="00B2066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(300 mg nirmatrelvir and 100 mg ritonavir) BID on Days</w:t>
            </w:r>
            <w:r w:rsidR="00EA433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36637B" w:rsidRPr="00B2066F">
              <w:rPr>
                <w:rFonts w:ascii="Times New Roman" w:eastAsiaTheme="minorEastAsia" w:hAnsi="Times New Roman" w:cs="Times New Roman"/>
                <w:sz w:val="24"/>
                <w:szCs w:val="24"/>
              </w:rPr>
              <w:t>15 to 19</w:t>
            </w:r>
          </w:p>
        </w:tc>
        <w:tc>
          <w:tcPr>
            <w:tcW w:w="2070" w:type="dxa"/>
            <w:vAlign w:val="center"/>
          </w:tcPr>
          <w:p w14:paraId="607630AB" w14:textId="4D18E63F" w:rsidR="00DD23FF" w:rsidRPr="007F044B" w:rsidRDefault="007F044B" w:rsidP="008B2875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2066F">
              <w:rPr>
                <w:rFonts w:ascii="Times New Roman" w:hAnsi="Times New Roman" w:cs="Times New Roman"/>
                <w:sz w:val="24"/>
                <w:szCs w:val="24"/>
              </w:rPr>
              <w:t>0.95 (0.89, 1.02)</w:t>
            </w:r>
          </w:p>
        </w:tc>
        <w:tc>
          <w:tcPr>
            <w:tcW w:w="2160" w:type="dxa"/>
            <w:vAlign w:val="center"/>
          </w:tcPr>
          <w:p w14:paraId="3136077C" w14:textId="225D4A47" w:rsidR="00DD23FF" w:rsidRPr="007F044B" w:rsidRDefault="007F044B" w:rsidP="008B2875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2066F">
              <w:rPr>
                <w:rFonts w:ascii="Times New Roman" w:hAnsi="Times New Roman" w:cs="Times New Roman"/>
                <w:sz w:val="24"/>
                <w:szCs w:val="24"/>
              </w:rPr>
              <w:t>0.97 (0.91, 1.02)</w:t>
            </w:r>
          </w:p>
        </w:tc>
      </w:tr>
      <w:tr w:rsidR="00DD23FF" w14:paraId="6485B28D" w14:textId="77777777" w:rsidTr="00B2066F">
        <w:tc>
          <w:tcPr>
            <w:tcW w:w="6300" w:type="dxa"/>
          </w:tcPr>
          <w:p w14:paraId="34FA6260" w14:textId="40E442EF" w:rsidR="00A30438" w:rsidRPr="005D448C" w:rsidRDefault="00A30438" w:rsidP="00A30438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Rifam</w:t>
            </w:r>
            <w:r w:rsidR="00B278C7">
              <w:rPr>
                <w:rFonts w:ascii="Times New Roman" w:eastAsiaTheme="minorEastAsia" w:hAnsi="Times New Roman" w:cs="Times New Roman"/>
                <w:sz w:val="24"/>
                <w:szCs w:val="24"/>
              </w:rPr>
              <w:t>picin</w:t>
            </w:r>
            <w:r w:rsidRPr="005D448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B278C7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  <w:r w:rsidRPr="005D448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mg </w:t>
            </w:r>
            <w:r w:rsidR="004F184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(weak CYP3A inducer) </w:t>
            </w:r>
            <w:r w:rsidRPr="005D448C">
              <w:rPr>
                <w:rFonts w:ascii="Times New Roman" w:eastAsiaTheme="minorEastAsia" w:hAnsi="Times New Roman" w:cs="Times New Roman"/>
                <w:sz w:val="24"/>
                <w:szCs w:val="24"/>
              </w:rPr>
              <w:t>QD for 19 days</w:t>
            </w:r>
          </w:p>
          <w:p w14:paraId="5D84A228" w14:textId="049CCAA8" w:rsidR="00DD23FF" w:rsidRDefault="00A30438" w:rsidP="00A30438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5D448C">
              <w:rPr>
                <w:rFonts w:ascii="Times New Roman" w:eastAsiaTheme="minorEastAsia" w:hAnsi="Times New Roman" w:cs="Times New Roman"/>
                <w:sz w:val="24"/>
                <w:szCs w:val="24"/>
              </w:rPr>
              <w:t>Paxlovid (300 mg nirmatrelvir and 100 mg ritonavir) BID on Days 15 to 19</w:t>
            </w:r>
          </w:p>
        </w:tc>
        <w:tc>
          <w:tcPr>
            <w:tcW w:w="2070" w:type="dxa"/>
            <w:vAlign w:val="center"/>
          </w:tcPr>
          <w:p w14:paraId="444DB691" w14:textId="227D8535" w:rsidR="00DD23FF" w:rsidRPr="007F044B" w:rsidRDefault="0052522C" w:rsidP="008B2875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2066F">
              <w:rPr>
                <w:rFonts w:ascii="Times New Roman" w:hAnsi="Times New Roman" w:cs="Times New Roman"/>
                <w:sz w:val="24"/>
                <w:szCs w:val="24"/>
              </w:rPr>
              <w:t>1.00 (0.94, 1.06)</w:t>
            </w:r>
          </w:p>
        </w:tc>
        <w:tc>
          <w:tcPr>
            <w:tcW w:w="2160" w:type="dxa"/>
            <w:vAlign w:val="center"/>
          </w:tcPr>
          <w:p w14:paraId="7461BC67" w14:textId="5B4C8E66" w:rsidR="00DD23FF" w:rsidRPr="007F044B" w:rsidRDefault="00821D81" w:rsidP="008B2875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2066F">
              <w:rPr>
                <w:rFonts w:ascii="Times New Roman" w:hAnsi="Times New Roman" w:cs="Times New Roman"/>
                <w:sz w:val="24"/>
                <w:szCs w:val="24"/>
              </w:rPr>
              <w:t>1.00 (0.95, 1.05)</w:t>
            </w:r>
          </w:p>
        </w:tc>
      </w:tr>
    </w:tbl>
    <w:p w14:paraId="471F6FA8" w14:textId="518CAAA1" w:rsidR="00725F59" w:rsidRPr="00B2066F" w:rsidRDefault="008B2875" w:rsidP="00B2066F">
      <w:pPr>
        <w:spacing w:line="480" w:lineRule="auto"/>
        <w:ind w:left="-630"/>
        <w:rPr>
          <w:rFonts w:ascii="Times New Roman" w:eastAsiaTheme="minorEastAsia" w:hAnsi="Times New Roman" w:cs="Times New Roman"/>
          <w:sz w:val="24"/>
          <w:szCs w:val="24"/>
        </w:rPr>
      </w:pPr>
      <w:r w:rsidRPr="00B2066F">
        <w:rPr>
          <w:rFonts w:ascii="Times New Roman" w:eastAsiaTheme="minorEastAsia" w:hAnsi="Times New Roman" w:cs="Times New Roman"/>
          <w:sz w:val="24"/>
          <w:szCs w:val="24"/>
        </w:rPr>
        <w:t>Trial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design: </w:t>
      </w:r>
      <w:r w:rsidR="00172717">
        <w:rPr>
          <w:rFonts w:ascii="Times New Roman" w:eastAsiaTheme="minorEastAsia" w:hAnsi="Times New Roman" w:cs="Times New Roman"/>
          <w:sz w:val="24"/>
          <w:szCs w:val="24"/>
        </w:rPr>
        <w:t xml:space="preserve">10 subjects x </w:t>
      </w:r>
      <w:r>
        <w:rPr>
          <w:rFonts w:ascii="Times New Roman" w:eastAsiaTheme="minorEastAsia" w:hAnsi="Times New Roman" w:cs="Times New Roman"/>
          <w:sz w:val="24"/>
          <w:szCs w:val="24"/>
        </w:rPr>
        <w:t>10 trial</w:t>
      </w:r>
      <w:r w:rsidR="00172717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27707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CE278A">
        <w:rPr>
          <w:rFonts w:ascii="Times New Roman" w:eastAsiaTheme="minorEastAsia" w:hAnsi="Times New Roman" w:cs="Times New Roman"/>
          <w:sz w:val="24"/>
          <w:szCs w:val="24"/>
        </w:rPr>
        <w:t>age 20-</w:t>
      </w:r>
      <w:r w:rsidR="00CD45B6">
        <w:rPr>
          <w:rFonts w:ascii="Times New Roman" w:eastAsiaTheme="minorEastAsia" w:hAnsi="Times New Roman" w:cs="Times New Roman"/>
          <w:sz w:val="24"/>
          <w:szCs w:val="24"/>
        </w:rPr>
        <w:t xml:space="preserve">50, </w:t>
      </w:r>
      <w:r w:rsidR="00172717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w:r w:rsidR="00CD45B6">
        <w:rPr>
          <w:rFonts w:ascii="Times New Roman" w:eastAsiaTheme="minorEastAsia" w:hAnsi="Times New Roman" w:cs="Times New Roman"/>
          <w:sz w:val="24"/>
          <w:szCs w:val="24"/>
        </w:rPr>
        <w:t>female 50%</w:t>
      </w:r>
      <w:r w:rsidR="00172717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37108A">
        <w:rPr>
          <w:rFonts w:ascii="Times New Roman" w:eastAsiaTheme="minorEastAsia" w:hAnsi="Times New Roman" w:cs="Times New Roman"/>
          <w:sz w:val="24"/>
          <w:szCs w:val="24"/>
        </w:rPr>
        <w:t xml:space="preserve"> CI, confidence interval.</w:t>
      </w:r>
    </w:p>
    <w:p w14:paraId="23DACE54" w14:textId="77777777" w:rsidR="0000108B" w:rsidRDefault="0000108B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szCs w:val="24"/>
        </w:rPr>
        <w:br w:type="page"/>
      </w:r>
    </w:p>
    <w:p w14:paraId="2B35878F" w14:textId="0E81C7CD" w:rsidR="00756977" w:rsidRPr="00140F50" w:rsidRDefault="00601E56" w:rsidP="00140F50">
      <w:pPr>
        <w:pStyle w:val="Heading2Unnumbered"/>
        <w:spacing w:line="360" w:lineRule="auto"/>
        <w:rPr>
          <w:rFonts w:eastAsia="GaramondPremrPro"/>
        </w:rPr>
      </w:pPr>
      <w:r w:rsidRPr="00462DBF"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7CC76AFE" wp14:editId="3DE49440">
            <wp:simplePos x="0" y="0"/>
            <wp:positionH relativeFrom="column">
              <wp:posOffset>87630</wp:posOffset>
            </wp:positionH>
            <wp:positionV relativeFrom="paragraph">
              <wp:posOffset>1671378</wp:posOffset>
            </wp:positionV>
            <wp:extent cx="2641600" cy="1993900"/>
            <wp:effectExtent l="0" t="0" r="6350" b="6350"/>
            <wp:wrapThrough wrapText="bothSides">
              <wp:wrapPolygon edited="0">
                <wp:start x="0" y="0"/>
                <wp:lineTo x="0" y="21462"/>
                <wp:lineTo x="21496" y="21462"/>
                <wp:lineTo x="2149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BA4" w:rsidRPr="00140F50">
        <w:rPr>
          <w:szCs w:val="24"/>
        </w:rPr>
        <w:t>Figure S</w:t>
      </w:r>
      <w:r w:rsidR="00943B92">
        <w:rPr>
          <w:szCs w:val="24"/>
        </w:rPr>
        <w:t>1</w:t>
      </w:r>
      <w:r w:rsidR="004E3BA4" w:rsidRPr="00140F50">
        <w:rPr>
          <w:szCs w:val="24"/>
        </w:rPr>
        <w:t xml:space="preserve">. </w:t>
      </w:r>
      <w:r w:rsidR="00882820" w:rsidRPr="00140F50">
        <w:rPr>
          <w:szCs w:val="24"/>
        </w:rPr>
        <w:t xml:space="preserve">Ritonavir Exposure </w:t>
      </w:r>
      <w:r w:rsidR="00FE6FE6" w:rsidRPr="00140F50">
        <w:rPr>
          <w:szCs w:val="24"/>
        </w:rPr>
        <w:t xml:space="preserve">with </w:t>
      </w:r>
      <w:r w:rsidR="003321C8" w:rsidRPr="00140F50">
        <w:rPr>
          <w:szCs w:val="24"/>
        </w:rPr>
        <w:t xml:space="preserve">Nirmatrelvir </w:t>
      </w:r>
      <w:r w:rsidR="00314C0A" w:rsidRPr="00140F50">
        <w:rPr>
          <w:szCs w:val="24"/>
        </w:rPr>
        <w:t>SDD Formulation</w:t>
      </w:r>
      <w:r w:rsidR="004E3BA4" w:rsidRPr="00140F50">
        <w:rPr>
          <w:szCs w:val="24"/>
        </w:rPr>
        <w:t xml:space="preserve"> </w:t>
      </w:r>
      <w:r w:rsidR="008A6C62" w:rsidRPr="00140F50">
        <w:rPr>
          <w:szCs w:val="24"/>
        </w:rPr>
        <w:t>in the Presence of</w:t>
      </w:r>
      <w:r w:rsidR="003321C8" w:rsidRPr="00140F50">
        <w:rPr>
          <w:szCs w:val="24"/>
        </w:rPr>
        <w:t xml:space="preserve"> </w:t>
      </w:r>
      <w:r w:rsidR="002273D9" w:rsidRPr="00140F50">
        <w:rPr>
          <w:szCs w:val="24"/>
        </w:rPr>
        <w:t>Ritonavir</w:t>
      </w:r>
      <w:r w:rsidR="00756977" w:rsidRPr="00140F50">
        <w:rPr>
          <w:szCs w:val="24"/>
        </w:rPr>
        <w:t xml:space="preserve"> </w:t>
      </w:r>
      <w:r w:rsidR="00756977" w:rsidRPr="00140F50">
        <w:t xml:space="preserve">(300 mg Nirmatrelvir and Three Doses of 100 mg Ritonavir at -12, 0, 12 h).  Clinical data from </w:t>
      </w:r>
      <w:r w:rsidR="007F2273" w:rsidRPr="000478C0">
        <w:rPr>
          <w:rFonts w:eastAsia="GaramondPremrPro"/>
        </w:rPr>
        <w:t>NCT0</w:t>
      </w:r>
      <w:r w:rsidR="007F2273">
        <w:rPr>
          <w:rFonts w:eastAsia="GaramondPremrPro"/>
        </w:rPr>
        <w:t>5263895</w:t>
      </w:r>
      <w:r w:rsidR="007F2273" w:rsidRPr="00140F50">
        <w:rPr>
          <w:rFonts w:eastAsia="GaramondPremrPro"/>
          <w:szCs w:val="24"/>
        </w:rPr>
        <w:t xml:space="preserve"> </w:t>
      </w:r>
      <w:r w:rsidR="00756977" w:rsidRPr="00140F50">
        <w:rPr>
          <w:rFonts w:eastAsia="GaramondPremrPro"/>
          <w:szCs w:val="24"/>
        </w:rPr>
        <w:t>(relative bioavailability</w:t>
      </w:r>
      <w:r w:rsidR="00642825" w:rsidRPr="00140F50">
        <w:rPr>
          <w:rFonts w:eastAsia="GaramondPremrPro"/>
          <w:szCs w:val="24"/>
        </w:rPr>
        <w:t xml:space="preserve">, </w:t>
      </w:r>
      <w:r w:rsidR="008E5CE9">
        <w:rPr>
          <w:szCs w:val="24"/>
        </w:rPr>
        <w:t>Dataset</w:t>
      </w:r>
      <w:r w:rsidR="00642825" w:rsidRPr="00140F50">
        <w:rPr>
          <w:szCs w:val="24"/>
        </w:rPr>
        <w:t xml:space="preserve"> #2</w:t>
      </w:r>
      <w:r w:rsidR="00140F50" w:rsidRPr="00140F50">
        <w:rPr>
          <w:szCs w:val="24"/>
        </w:rPr>
        <w:t>, N=12</w:t>
      </w:r>
      <w:r w:rsidR="00756977" w:rsidRPr="00140F50">
        <w:rPr>
          <w:rFonts w:eastAsia="GaramondPremrPro"/>
        </w:rPr>
        <w:t xml:space="preserve">). Human clinical data are presented as discrete points of mean value and standard deviation. Solid line in the middle is simulated </w:t>
      </w:r>
      <w:r w:rsidR="00E6513D">
        <w:rPr>
          <w:rFonts w:eastAsia="GaramondPremrPro"/>
        </w:rPr>
        <w:t>mean concentration</w:t>
      </w:r>
      <w:r w:rsidR="00E6513D" w:rsidRPr="00140F50">
        <w:rPr>
          <w:rFonts w:eastAsia="GaramondPremrPro"/>
        </w:rPr>
        <w:t xml:space="preserve"> </w:t>
      </w:r>
      <w:r w:rsidR="00756977" w:rsidRPr="00140F50">
        <w:rPr>
          <w:rFonts w:eastAsia="GaramondPremrPro"/>
        </w:rPr>
        <w:t xml:space="preserve">from the model.  The two boundary lines represent </w:t>
      </w:r>
      <w:r w:rsidR="00EE2EF6">
        <w:rPr>
          <w:rFonts w:eastAsia="GaramondPremrPro"/>
          <w:bCs/>
        </w:rPr>
        <w:t>5</w:t>
      </w:r>
      <w:r w:rsidR="00EE2EF6">
        <w:rPr>
          <w:rFonts w:eastAsia="GaramondPremrPro"/>
          <w:bCs/>
          <w:vertAlign w:val="superscript"/>
        </w:rPr>
        <w:t>th</w:t>
      </w:r>
      <w:r w:rsidR="00EE2EF6">
        <w:rPr>
          <w:rFonts w:eastAsia="GaramondPremrPro"/>
          <w:bCs/>
        </w:rPr>
        <w:t xml:space="preserve"> and 95</w:t>
      </w:r>
      <w:r w:rsidR="00EE2EF6">
        <w:rPr>
          <w:rFonts w:eastAsia="GaramondPremrPro"/>
          <w:bCs/>
          <w:vertAlign w:val="superscript"/>
        </w:rPr>
        <w:t>th</w:t>
      </w:r>
      <w:r w:rsidR="00EE2EF6">
        <w:rPr>
          <w:rFonts w:eastAsia="GaramondPremrPro"/>
          <w:bCs/>
        </w:rPr>
        <w:t xml:space="preserve"> </w:t>
      </w:r>
      <w:r w:rsidR="00756977" w:rsidRPr="00140F50">
        <w:rPr>
          <w:rFonts w:eastAsia="GaramondPremrPro"/>
        </w:rPr>
        <w:t xml:space="preserve"> percentile. </w:t>
      </w:r>
    </w:p>
    <w:p w14:paraId="70EBB47A" w14:textId="5BBB0C17" w:rsidR="003402ED" w:rsidRDefault="00601E56" w:rsidP="00AA27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DBF">
        <w:rPr>
          <w:noProof/>
        </w:rPr>
        <w:drawing>
          <wp:anchor distT="0" distB="0" distL="114300" distR="114300" simplePos="0" relativeHeight="251676672" behindDoc="0" locked="0" layoutInCell="1" allowOverlap="1" wp14:anchorId="030EC8F9" wp14:editId="05182BBA">
            <wp:simplePos x="0" y="0"/>
            <wp:positionH relativeFrom="margin">
              <wp:posOffset>2964757</wp:posOffset>
            </wp:positionH>
            <wp:positionV relativeFrom="paragraph">
              <wp:posOffset>3810</wp:posOffset>
            </wp:positionV>
            <wp:extent cx="2646045" cy="1997710"/>
            <wp:effectExtent l="0" t="0" r="1905" b="2540"/>
            <wp:wrapThrough wrapText="bothSides">
              <wp:wrapPolygon edited="0">
                <wp:start x="0" y="0"/>
                <wp:lineTo x="0" y="21421"/>
                <wp:lineTo x="21460" y="21421"/>
                <wp:lineTo x="2146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B16283" w14:textId="33DBE659" w:rsidR="009D791F" w:rsidRDefault="009D791F" w:rsidP="009D79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CFA80D" w14:textId="64553597" w:rsidR="009D791F" w:rsidRDefault="009D791F" w:rsidP="009D79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CB7CCB" w14:textId="7A6C24C4" w:rsidR="009D791F" w:rsidRDefault="009D791F" w:rsidP="009D79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B3F346" w14:textId="05FF9585" w:rsidR="009D791F" w:rsidRDefault="009D791F" w:rsidP="009D79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60CEF1" w14:textId="102C162D" w:rsidR="009D791F" w:rsidRDefault="009D791F" w:rsidP="009D79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233875" w14:textId="78E372E6" w:rsidR="009D791F" w:rsidRDefault="009D791F" w:rsidP="009D79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B9B223" w14:textId="6AADFA83" w:rsidR="006B713C" w:rsidRDefault="006B713C" w:rsidP="009D79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7051ED" w14:textId="77777777" w:rsidR="00EE2EF6" w:rsidRDefault="00EE2EF6" w:rsidP="009D79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F8D81D" w14:textId="4C09BEE7" w:rsidR="00B43788" w:rsidRDefault="00E6513D" w:rsidP="00726D7C">
      <w:pPr>
        <w:pStyle w:val="Heading2Unnumbered"/>
        <w:spacing w:line="360" w:lineRule="auto"/>
        <w:rPr>
          <w:rFonts w:eastAsia="GaramondPremrPro"/>
        </w:rPr>
      </w:pPr>
      <w:r w:rsidRPr="0023681A">
        <w:rPr>
          <w:noProof/>
        </w:rPr>
        <w:drawing>
          <wp:anchor distT="0" distB="0" distL="114300" distR="114300" simplePos="0" relativeHeight="251678720" behindDoc="0" locked="0" layoutInCell="1" allowOverlap="1" wp14:anchorId="435C5B09" wp14:editId="0553A045">
            <wp:simplePos x="0" y="0"/>
            <wp:positionH relativeFrom="margin">
              <wp:posOffset>120650</wp:posOffset>
            </wp:positionH>
            <wp:positionV relativeFrom="paragraph">
              <wp:posOffset>1644015</wp:posOffset>
            </wp:positionV>
            <wp:extent cx="2802890" cy="2115820"/>
            <wp:effectExtent l="0" t="0" r="0" b="0"/>
            <wp:wrapThrough wrapText="bothSides">
              <wp:wrapPolygon edited="0">
                <wp:start x="0" y="0"/>
                <wp:lineTo x="0" y="21393"/>
                <wp:lineTo x="21434" y="21393"/>
                <wp:lineTo x="21434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EF6" w:rsidRPr="00F9240E">
        <w:rPr>
          <w:noProof/>
        </w:rPr>
        <w:drawing>
          <wp:anchor distT="0" distB="0" distL="114300" distR="114300" simplePos="0" relativeHeight="251679744" behindDoc="0" locked="0" layoutInCell="1" allowOverlap="1" wp14:anchorId="6FFEE6E2" wp14:editId="539823C6">
            <wp:simplePos x="0" y="0"/>
            <wp:positionH relativeFrom="margin">
              <wp:posOffset>3016885</wp:posOffset>
            </wp:positionH>
            <wp:positionV relativeFrom="paragraph">
              <wp:posOffset>1653540</wp:posOffset>
            </wp:positionV>
            <wp:extent cx="2800985" cy="2114550"/>
            <wp:effectExtent l="0" t="0" r="0" b="0"/>
            <wp:wrapThrough wrapText="bothSides">
              <wp:wrapPolygon edited="0">
                <wp:start x="0" y="0"/>
                <wp:lineTo x="0" y="21405"/>
                <wp:lineTo x="21448" y="21405"/>
                <wp:lineTo x="21448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8F6" w:rsidRPr="00726D7C">
        <w:rPr>
          <w:szCs w:val="24"/>
        </w:rPr>
        <w:t>Figure S</w:t>
      </w:r>
      <w:r w:rsidR="00943B92">
        <w:rPr>
          <w:szCs w:val="24"/>
        </w:rPr>
        <w:t>2</w:t>
      </w:r>
      <w:r w:rsidR="000868F6" w:rsidRPr="00726D7C">
        <w:rPr>
          <w:szCs w:val="24"/>
        </w:rPr>
        <w:t>.</w:t>
      </w:r>
      <w:r w:rsidR="00374D6B" w:rsidRPr="00726D7C">
        <w:rPr>
          <w:szCs w:val="24"/>
        </w:rPr>
        <w:t xml:space="preserve"> </w:t>
      </w:r>
      <w:r w:rsidR="00FE6FE6" w:rsidRPr="00726D7C">
        <w:rPr>
          <w:szCs w:val="24"/>
        </w:rPr>
        <w:t xml:space="preserve">Ritonavir Exposure with Nirmatrelvir </w:t>
      </w:r>
      <w:r w:rsidR="005A3376" w:rsidRPr="00726D7C">
        <w:rPr>
          <w:szCs w:val="24"/>
        </w:rPr>
        <w:t>Tablet</w:t>
      </w:r>
      <w:r w:rsidR="00FE6FE6" w:rsidRPr="00726D7C">
        <w:rPr>
          <w:szCs w:val="24"/>
        </w:rPr>
        <w:t xml:space="preserve"> </w:t>
      </w:r>
      <w:r w:rsidR="005A3376" w:rsidRPr="00726D7C">
        <w:rPr>
          <w:szCs w:val="24"/>
        </w:rPr>
        <w:t>in the Presence of</w:t>
      </w:r>
      <w:r w:rsidR="00FE6FE6" w:rsidRPr="00726D7C">
        <w:rPr>
          <w:szCs w:val="24"/>
        </w:rPr>
        <w:t xml:space="preserve"> Ritonavir </w:t>
      </w:r>
      <w:r w:rsidR="00B43788" w:rsidRPr="00726D7C">
        <w:t xml:space="preserve">(300 mg Nirmatrelvir Tablet and Three Doses of 100 mg Ritonavir at -12, 0, 12 h). Clinical data from </w:t>
      </w:r>
      <w:r w:rsidR="0005501A" w:rsidRPr="000478C0">
        <w:rPr>
          <w:rFonts w:eastAsia="GaramondPremrPro"/>
        </w:rPr>
        <w:t>NCT0</w:t>
      </w:r>
      <w:r w:rsidR="0005501A">
        <w:rPr>
          <w:rFonts w:eastAsia="GaramondPremrPro"/>
        </w:rPr>
        <w:t>5263895</w:t>
      </w:r>
      <w:r w:rsidR="0005501A" w:rsidRPr="00726D7C">
        <w:rPr>
          <w:rFonts w:eastAsia="GaramondPremrPro"/>
          <w:szCs w:val="24"/>
        </w:rPr>
        <w:t xml:space="preserve"> </w:t>
      </w:r>
      <w:r w:rsidR="00B43788" w:rsidRPr="00726D7C">
        <w:rPr>
          <w:rFonts w:eastAsia="GaramondPremrPro"/>
          <w:szCs w:val="24"/>
        </w:rPr>
        <w:t>(relative bioavailability</w:t>
      </w:r>
      <w:r w:rsidR="00726D7C" w:rsidRPr="00726D7C">
        <w:rPr>
          <w:rFonts w:eastAsia="GaramondPremrPro"/>
          <w:szCs w:val="24"/>
        </w:rPr>
        <w:t xml:space="preserve">, </w:t>
      </w:r>
      <w:r w:rsidR="007E3762">
        <w:rPr>
          <w:szCs w:val="24"/>
        </w:rPr>
        <w:t>Dataset</w:t>
      </w:r>
      <w:r w:rsidR="00726D7C" w:rsidRPr="00726D7C">
        <w:rPr>
          <w:szCs w:val="24"/>
        </w:rPr>
        <w:t xml:space="preserve"> #3, N=12</w:t>
      </w:r>
      <w:r w:rsidR="00B43788" w:rsidRPr="00726D7C">
        <w:rPr>
          <w:rFonts w:eastAsia="GaramondPremrPro"/>
        </w:rPr>
        <w:t xml:space="preserve">). Human clinical data are presented as discrete points of mean value and standard deviation. Solid line in the middle is simulated </w:t>
      </w:r>
      <w:r>
        <w:rPr>
          <w:rFonts w:eastAsia="GaramondPremrPro"/>
        </w:rPr>
        <w:t>mean concentration</w:t>
      </w:r>
      <w:r w:rsidRPr="00140F50">
        <w:rPr>
          <w:rFonts w:eastAsia="GaramondPremrPro"/>
        </w:rPr>
        <w:t xml:space="preserve"> </w:t>
      </w:r>
      <w:r w:rsidR="00B43788" w:rsidRPr="00726D7C">
        <w:rPr>
          <w:rFonts w:eastAsia="GaramondPremrPro"/>
        </w:rPr>
        <w:t xml:space="preserve">from the model.  The two boundary lines represent </w:t>
      </w:r>
      <w:r w:rsidR="00EE2EF6">
        <w:rPr>
          <w:rFonts w:eastAsia="GaramondPremrPro"/>
          <w:bCs/>
        </w:rPr>
        <w:t>5</w:t>
      </w:r>
      <w:r w:rsidR="00EE2EF6">
        <w:rPr>
          <w:rFonts w:eastAsia="GaramondPremrPro"/>
          <w:bCs/>
          <w:vertAlign w:val="superscript"/>
        </w:rPr>
        <w:t>th</w:t>
      </w:r>
      <w:r w:rsidR="00EE2EF6">
        <w:rPr>
          <w:rFonts w:eastAsia="GaramondPremrPro"/>
          <w:bCs/>
        </w:rPr>
        <w:t xml:space="preserve"> and 95</w:t>
      </w:r>
      <w:r w:rsidR="00EE2EF6">
        <w:rPr>
          <w:rFonts w:eastAsia="GaramondPremrPro"/>
          <w:bCs/>
          <w:vertAlign w:val="superscript"/>
        </w:rPr>
        <w:t>th</w:t>
      </w:r>
      <w:r w:rsidR="00EE2EF6">
        <w:rPr>
          <w:rFonts w:eastAsia="GaramondPremrPro"/>
          <w:bCs/>
        </w:rPr>
        <w:t xml:space="preserve"> </w:t>
      </w:r>
      <w:r w:rsidR="00B43788" w:rsidRPr="00726D7C">
        <w:rPr>
          <w:rFonts w:eastAsia="GaramondPremrPro"/>
        </w:rPr>
        <w:t xml:space="preserve">percentile. </w:t>
      </w:r>
    </w:p>
    <w:p w14:paraId="34896385" w14:textId="5F59BCEC" w:rsidR="00EE2EF6" w:rsidRDefault="00EE2EF6" w:rsidP="00EE2EF6">
      <w:pPr>
        <w:pStyle w:val="Paragraph"/>
        <w:rPr>
          <w:b/>
          <w:bCs/>
        </w:rPr>
      </w:pPr>
      <w:r>
        <w:rPr>
          <w:b/>
          <w:bCs/>
        </w:rPr>
        <w:br w:type="page"/>
      </w:r>
    </w:p>
    <w:p w14:paraId="6B3B79D0" w14:textId="2CED7F1B" w:rsidR="00B118FF" w:rsidRPr="00187823" w:rsidRDefault="00AA277D" w:rsidP="00601E5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Figure S</w:t>
      </w:r>
      <w:r w:rsidR="00943B92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F1A60">
        <w:rPr>
          <w:rFonts w:ascii="Times New Roman" w:hAnsi="Times New Roman" w:cs="Times New Roman"/>
          <w:b/>
          <w:bCs/>
          <w:sz w:val="24"/>
          <w:szCs w:val="24"/>
        </w:rPr>
        <w:t>Ritonavir Exposure with Nirmatrelvir Tablet in the Presence of Ritonavir</w:t>
      </w:r>
      <w:r w:rsidR="00616B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6B5E" w:rsidRPr="00187823">
        <w:rPr>
          <w:rFonts w:ascii="Times New Roman" w:hAnsi="Times New Roman" w:cs="Times New Roman"/>
          <w:b/>
          <w:bCs/>
          <w:sz w:val="24"/>
          <w:szCs w:val="24"/>
        </w:rPr>
        <w:t xml:space="preserve">(300 mg Nirmatrelvir Tablet and 100 mg Ritonavir BID for 5 Days, 9 Doses Total). </w:t>
      </w:r>
      <w:r w:rsidR="001209B6" w:rsidRPr="001209B6">
        <w:rPr>
          <w:rFonts w:ascii="Times New Roman" w:hAnsi="Times New Roman" w:cs="Times New Roman"/>
          <w:b/>
          <w:bCs/>
          <w:sz w:val="24"/>
          <w:szCs w:val="24"/>
        </w:rPr>
        <w:t>Clinical data from</w:t>
      </w:r>
      <w:r w:rsidR="001209B6" w:rsidRPr="001209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16B5E" w:rsidRPr="001209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NCT05032950 (midazolam </w:t>
      </w:r>
      <w:r w:rsidR="00616B5E" w:rsidRPr="007E37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DDI, </w:t>
      </w:r>
      <w:r w:rsidR="007E3762" w:rsidRPr="007E3762">
        <w:rPr>
          <w:rFonts w:ascii="Times New Roman" w:hAnsi="Times New Roman" w:cs="Times New Roman"/>
          <w:b/>
          <w:bCs/>
          <w:sz w:val="24"/>
          <w:szCs w:val="24"/>
        </w:rPr>
        <w:t>Dataset</w:t>
      </w:r>
      <w:r w:rsidR="00616B5E" w:rsidRPr="001209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#5).  </w:t>
      </w:r>
      <w:r w:rsidR="00616B5E" w:rsidRPr="001209B6">
        <w:rPr>
          <w:rFonts w:ascii="Times New Roman" w:eastAsia="GaramondPremrPro" w:hAnsi="Times New Roman" w:cs="Times New Roman"/>
          <w:b/>
          <w:bCs/>
          <w:sz w:val="24"/>
          <w:szCs w:val="24"/>
        </w:rPr>
        <w:t>Human clinical data are presente</w:t>
      </w:r>
      <w:r w:rsidR="00616B5E" w:rsidRPr="00187823">
        <w:rPr>
          <w:rFonts w:ascii="Times New Roman" w:eastAsia="GaramondPremrPro" w:hAnsi="Times New Roman" w:cs="Times New Roman"/>
          <w:b/>
          <w:bCs/>
          <w:sz w:val="24"/>
          <w:szCs w:val="24"/>
        </w:rPr>
        <w:t xml:space="preserve">d as discrete points of mean value and standard deviation. Solid line in the middle is simulated </w:t>
      </w:r>
      <w:r w:rsidR="00E6513D" w:rsidRPr="00E03C59">
        <w:rPr>
          <w:rFonts w:ascii="Times New Roman" w:eastAsia="GaramondPremrPro" w:hAnsi="Times New Roman" w:cs="Times New Roman"/>
          <w:b/>
          <w:bCs/>
          <w:sz w:val="24"/>
          <w:szCs w:val="24"/>
        </w:rPr>
        <w:t>mean concentration</w:t>
      </w:r>
      <w:r w:rsidR="00616B5E" w:rsidRPr="00187823">
        <w:rPr>
          <w:rFonts w:ascii="Times New Roman" w:eastAsia="GaramondPremrPro" w:hAnsi="Times New Roman" w:cs="Times New Roman"/>
          <w:b/>
          <w:bCs/>
          <w:sz w:val="24"/>
          <w:szCs w:val="24"/>
        </w:rPr>
        <w:t xml:space="preserve"> from the model.  The two boundary lines </w:t>
      </w:r>
      <w:r w:rsidR="00616B5E" w:rsidRPr="00EE2EF6">
        <w:rPr>
          <w:rFonts w:ascii="Times New Roman" w:eastAsia="GaramondPremrPro" w:hAnsi="Times New Roman" w:cs="Times New Roman"/>
          <w:b/>
          <w:bCs/>
          <w:sz w:val="24"/>
          <w:szCs w:val="24"/>
        </w:rPr>
        <w:t xml:space="preserve">represent </w:t>
      </w:r>
      <w:r w:rsidR="00EE2EF6" w:rsidRPr="00EE2EF6">
        <w:rPr>
          <w:rFonts w:ascii="Times New Roman" w:eastAsia="GaramondPremrPro" w:hAnsi="Times New Roman" w:cs="Times New Roman"/>
          <w:b/>
          <w:bCs/>
          <w:sz w:val="24"/>
          <w:szCs w:val="24"/>
        </w:rPr>
        <w:t>5</w:t>
      </w:r>
      <w:r w:rsidR="00EE2EF6" w:rsidRPr="00EE2EF6">
        <w:rPr>
          <w:rFonts w:ascii="Times New Roman" w:eastAsia="GaramondPremrPro" w:hAnsi="Times New Roman" w:cs="Times New Roman"/>
          <w:b/>
          <w:bCs/>
          <w:sz w:val="24"/>
          <w:szCs w:val="24"/>
          <w:vertAlign w:val="superscript"/>
        </w:rPr>
        <w:t>th</w:t>
      </w:r>
      <w:r w:rsidR="00EE2EF6" w:rsidRPr="00EE2EF6">
        <w:rPr>
          <w:rFonts w:ascii="Times New Roman" w:eastAsia="GaramondPremrPro" w:hAnsi="Times New Roman" w:cs="Times New Roman"/>
          <w:b/>
          <w:bCs/>
          <w:sz w:val="24"/>
          <w:szCs w:val="24"/>
        </w:rPr>
        <w:t xml:space="preserve"> and 95</w:t>
      </w:r>
      <w:r w:rsidR="00EE2EF6" w:rsidRPr="00EE2EF6">
        <w:rPr>
          <w:rFonts w:ascii="Times New Roman" w:eastAsia="GaramondPremrPro" w:hAnsi="Times New Roman" w:cs="Times New Roman"/>
          <w:b/>
          <w:bCs/>
          <w:sz w:val="24"/>
          <w:szCs w:val="24"/>
          <w:vertAlign w:val="superscript"/>
        </w:rPr>
        <w:t>th</w:t>
      </w:r>
      <w:r w:rsidR="00EE2EF6" w:rsidRPr="00EE2EF6">
        <w:rPr>
          <w:rFonts w:ascii="Times New Roman" w:eastAsia="GaramondPremrPro" w:hAnsi="Times New Roman" w:cs="Times New Roman"/>
          <w:b/>
          <w:bCs/>
          <w:sz w:val="24"/>
          <w:szCs w:val="24"/>
        </w:rPr>
        <w:t xml:space="preserve"> </w:t>
      </w:r>
      <w:r w:rsidR="00616B5E" w:rsidRPr="00EE2EF6">
        <w:rPr>
          <w:rFonts w:ascii="Times New Roman" w:eastAsia="GaramondPremrPro" w:hAnsi="Times New Roman" w:cs="Times New Roman"/>
          <w:b/>
          <w:bCs/>
          <w:sz w:val="24"/>
          <w:szCs w:val="24"/>
        </w:rPr>
        <w:t>percentile</w:t>
      </w:r>
      <w:r w:rsidR="00616B5E" w:rsidRPr="00187823">
        <w:rPr>
          <w:rFonts w:ascii="Times New Roman" w:eastAsia="GaramondPremrPro" w:hAnsi="Times New Roman" w:cs="Times New Roman"/>
          <w:b/>
          <w:bCs/>
          <w:sz w:val="24"/>
          <w:szCs w:val="24"/>
        </w:rPr>
        <w:t xml:space="preserve">. </w:t>
      </w:r>
      <w:r w:rsidR="00EF1A60" w:rsidRPr="00187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6FCFB5" w14:textId="7EDEBC25" w:rsidR="004152FF" w:rsidRDefault="00CE1672" w:rsidP="004152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290">
        <w:rPr>
          <w:noProof/>
        </w:rPr>
        <w:drawing>
          <wp:anchor distT="0" distB="0" distL="114300" distR="114300" simplePos="0" relativeHeight="251680768" behindDoc="0" locked="0" layoutInCell="1" allowOverlap="1" wp14:anchorId="7F8B4058" wp14:editId="12D213B5">
            <wp:simplePos x="0" y="0"/>
            <wp:positionH relativeFrom="margin">
              <wp:posOffset>3007360</wp:posOffset>
            </wp:positionH>
            <wp:positionV relativeFrom="paragraph">
              <wp:posOffset>290797</wp:posOffset>
            </wp:positionV>
            <wp:extent cx="2738120" cy="2067560"/>
            <wp:effectExtent l="0" t="0" r="5080" b="8890"/>
            <wp:wrapThrough wrapText="bothSides">
              <wp:wrapPolygon edited="0">
                <wp:start x="0" y="0"/>
                <wp:lineTo x="0" y="21494"/>
                <wp:lineTo x="21490" y="21494"/>
                <wp:lineTo x="21490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672">
        <w:rPr>
          <w:noProof/>
        </w:rPr>
        <w:drawing>
          <wp:anchor distT="0" distB="0" distL="114300" distR="114300" simplePos="0" relativeHeight="251681792" behindDoc="0" locked="0" layoutInCell="1" allowOverlap="1" wp14:anchorId="45D5DF3B" wp14:editId="204ABE6E">
            <wp:simplePos x="0" y="0"/>
            <wp:positionH relativeFrom="column">
              <wp:posOffset>105878</wp:posOffset>
            </wp:positionH>
            <wp:positionV relativeFrom="paragraph">
              <wp:posOffset>290195</wp:posOffset>
            </wp:positionV>
            <wp:extent cx="2733040" cy="2061210"/>
            <wp:effectExtent l="0" t="0" r="0" b="0"/>
            <wp:wrapThrough wrapText="bothSides">
              <wp:wrapPolygon edited="0">
                <wp:start x="0" y="0"/>
                <wp:lineTo x="0" y="21360"/>
                <wp:lineTo x="21379" y="21360"/>
                <wp:lineTo x="2137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F0255" w14:textId="13B3CE4F" w:rsidR="00982F86" w:rsidRDefault="00982F86" w:rsidP="002267E0">
      <w:pPr>
        <w:pStyle w:val="Heading2Unnumbered"/>
        <w:spacing w:line="360" w:lineRule="auto"/>
        <w:rPr>
          <w:szCs w:val="24"/>
        </w:rPr>
      </w:pPr>
    </w:p>
    <w:p w14:paraId="32A52F79" w14:textId="2E320AD2" w:rsidR="00201C7C" w:rsidRPr="002267E0" w:rsidRDefault="005E214D" w:rsidP="002267E0">
      <w:pPr>
        <w:pStyle w:val="Heading2Unnumbered"/>
        <w:spacing w:line="360" w:lineRule="auto"/>
      </w:pPr>
      <w:r w:rsidRPr="002267E0">
        <w:rPr>
          <w:szCs w:val="24"/>
        </w:rPr>
        <w:t>Figure S</w:t>
      </w:r>
      <w:r w:rsidR="00943B92">
        <w:rPr>
          <w:szCs w:val="24"/>
        </w:rPr>
        <w:t>4</w:t>
      </w:r>
      <w:r w:rsidRPr="002267E0">
        <w:rPr>
          <w:szCs w:val="24"/>
        </w:rPr>
        <w:t xml:space="preserve">. </w:t>
      </w:r>
      <w:r w:rsidR="005F03FD" w:rsidRPr="002267E0">
        <w:rPr>
          <w:szCs w:val="24"/>
        </w:rPr>
        <w:t>Ritonavir Exposure with Nirmatrelvir Tablet in the Presence of Ritonavir</w:t>
      </w:r>
      <w:r w:rsidR="00201C7C" w:rsidRPr="002267E0">
        <w:rPr>
          <w:szCs w:val="24"/>
        </w:rPr>
        <w:t xml:space="preserve"> </w:t>
      </w:r>
      <w:r w:rsidR="00201C7C" w:rsidRPr="002267E0">
        <w:t xml:space="preserve">(300 mg Nirmatrelvir Tablets and 100 mg Ritonavir BID for 2 Days, 3 Doses total). </w:t>
      </w:r>
      <w:r w:rsidR="00201C7C" w:rsidRPr="002267E0">
        <w:rPr>
          <w:color w:val="000000"/>
          <w:szCs w:val="24"/>
          <w:shd w:val="clear" w:color="auto" w:fill="FFFFFF"/>
        </w:rPr>
        <w:t>Clinical data from NCT05064800 (</w:t>
      </w:r>
      <w:r w:rsidR="00201C7C" w:rsidRPr="002267E0">
        <w:rPr>
          <w:color w:val="000000"/>
          <w:shd w:val="clear" w:color="auto" w:fill="FFFFFF"/>
        </w:rPr>
        <w:t xml:space="preserve">dabigatran </w:t>
      </w:r>
      <w:proofErr w:type="spellStart"/>
      <w:r w:rsidR="00201C7C" w:rsidRPr="002267E0">
        <w:rPr>
          <w:color w:val="000000"/>
          <w:shd w:val="clear" w:color="auto" w:fill="FFFFFF"/>
        </w:rPr>
        <w:t>etexilate</w:t>
      </w:r>
      <w:proofErr w:type="spellEnd"/>
      <w:r w:rsidR="00201C7C" w:rsidRPr="002267E0">
        <w:rPr>
          <w:color w:val="000000"/>
          <w:szCs w:val="24"/>
          <w:shd w:val="clear" w:color="auto" w:fill="FFFFFF"/>
        </w:rPr>
        <w:t xml:space="preserve"> DDI, </w:t>
      </w:r>
      <w:r w:rsidR="007E3762" w:rsidRPr="007E3762">
        <w:rPr>
          <w:szCs w:val="24"/>
        </w:rPr>
        <w:t>Dataset</w:t>
      </w:r>
      <w:r w:rsidR="00201C7C" w:rsidRPr="007E3762">
        <w:rPr>
          <w:color w:val="000000"/>
          <w:szCs w:val="24"/>
          <w:shd w:val="clear" w:color="auto" w:fill="FFFFFF"/>
        </w:rPr>
        <w:t xml:space="preserve"> </w:t>
      </w:r>
      <w:r w:rsidR="00201C7C" w:rsidRPr="002267E0">
        <w:rPr>
          <w:color w:val="000000"/>
          <w:szCs w:val="24"/>
          <w:shd w:val="clear" w:color="auto" w:fill="FFFFFF"/>
        </w:rPr>
        <w:t>#6)</w:t>
      </w:r>
      <w:r w:rsidR="00201C7C" w:rsidRPr="002267E0">
        <w:rPr>
          <w:color w:val="000000"/>
          <w:shd w:val="clear" w:color="auto" w:fill="FFFFFF"/>
        </w:rPr>
        <w:t xml:space="preserve">. </w:t>
      </w:r>
      <w:r w:rsidR="00201C7C" w:rsidRPr="002267E0">
        <w:rPr>
          <w:rFonts w:eastAsia="GaramondPremrPro"/>
        </w:rPr>
        <w:t xml:space="preserve">Human clinical data are presented as discrete points of mean value and standard deviation. Solid line in the middle is simulated </w:t>
      </w:r>
      <w:r w:rsidR="00E6513D">
        <w:rPr>
          <w:rFonts w:eastAsia="GaramondPremrPro"/>
        </w:rPr>
        <w:t>mean concentration</w:t>
      </w:r>
      <w:r w:rsidR="00201C7C" w:rsidRPr="002267E0">
        <w:rPr>
          <w:rFonts w:eastAsia="GaramondPremrPro"/>
        </w:rPr>
        <w:t xml:space="preserve"> from the model.  The two boundary lines </w:t>
      </w:r>
      <w:r w:rsidR="00201C7C" w:rsidRPr="00EE2EF6">
        <w:rPr>
          <w:rFonts w:eastAsia="GaramondPremrPro"/>
        </w:rPr>
        <w:t xml:space="preserve">represent </w:t>
      </w:r>
      <w:r w:rsidR="00EE2EF6" w:rsidRPr="00EE2EF6">
        <w:rPr>
          <w:rFonts w:eastAsia="GaramondPremrPro"/>
          <w:szCs w:val="24"/>
        </w:rPr>
        <w:t>5</w:t>
      </w:r>
      <w:r w:rsidR="00EE2EF6" w:rsidRPr="00EE2EF6">
        <w:rPr>
          <w:rFonts w:eastAsia="GaramondPremrPro"/>
          <w:szCs w:val="24"/>
          <w:vertAlign w:val="superscript"/>
        </w:rPr>
        <w:t>th</w:t>
      </w:r>
      <w:r w:rsidR="00EE2EF6" w:rsidRPr="00EE2EF6">
        <w:rPr>
          <w:rFonts w:eastAsia="GaramondPremrPro"/>
          <w:szCs w:val="24"/>
        </w:rPr>
        <w:t xml:space="preserve"> and 95</w:t>
      </w:r>
      <w:r w:rsidR="00EE2EF6" w:rsidRPr="00EE2EF6">
        <w:rPr>
          <w:rFonts w:eastAsia="GaramondPremrPro"/>
          <w:szCs w:val="24"/>
          <w:vertAlign w:val="superscript"/>
        </w:rPr>
        <w:t>th</w:t>
      </w:r>
      <w:r w:rsidR="00EE2EF6" w:rsidRPr="00EE2EF6">
        <w:rPr>
          <w:rFonts w:eastAsia="GaramondPremrPro"/>
          <w:szCs w:val="24"/>
        </w:rPr>
        <w:t xml:space="preserve"> </w:t>
      </w:r>
      <w:r w:rsidR="00201C7C" w:rsidRPr="00EE2EF6">
        <w:rPr>
          <w:rFonts w:eastAsia="GaramondPremrPro"/>
        </w:rPr>
        <w:t>percentile</w:t>
      </w:r>
      <w:r w:rsidR="00201C7C" w:rsidRPr="002267E0">
        <w:rPr>
          <w:rFonts w:eastAsia="GaramondPremrPro"/>
        </w:rPr>
        <w:t xml:space="preserve">. </w:t>
      </w:r>
    </w:p>
    <w:p w14:paraId="22CB0B65" w14:textId="56B48E29" w:rsidR="00432889" w:rsidRPr="00B66DFE" w:rsidRDefault="00E6513D" w:rsidP="00E651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267">
        <w:rPr>
          <w:noProof/>
        </w:rPr>
        <w:drawing>
          <wp:anchor distT="0" distB="0" distL="114300" distR="114300" simplePos="0" relativeHeight="251673600" behindDoc="0" locked="0" layoutInCell="1" allowOverlap="1" wp14:anchorId="757F432E" wp14:editId="4FDE3990">
            <wp:simplePos x="0" y="0"/>
            <wp:positionH relativeFrom="page">
              <wp:posOffset>818515</wp:posOffset>
            </wp:positionH>
            <wp:positionV relativeFrom="paragraph">
              <wp:posOffset>407035</wp:posOffset>
            </wp:positionV>
            <wp:extent cx="2821305" cy="2124075"/>
            <wp:effectExtent l="0" t="0" r="0" b="9525"/>
            <wp:wrapThrough wrapText="bothSides">
              <wp:wrapPolygon edited="0">
                <wp:start x="0" y="0"/>
                <wp:lineTo x="0" y="21503"/>
                <wp:lineTo x="21440" y="21503"/>
                <wp:lineTo x="2144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EF6" w:rsidRPr="00D56A6A">
        <w:rPr>
          <w:noProof/>
        </w:rPr>
        <w:drawing>
          <wp:anchor distT="0" distB="0" distL="114300" distR="114300" simplePos="0" relativeHeight="251674624" behindDoc="0" locked="0" layoutInCell="1" allowOverlap="1" wp14:anchorId="2EC18B2D" wp14:editId="134884BF">
            <wp:simplePos x="0" y="0"/>
            <wp:positionH relativeFrom="column">
              <wp:posOffset>2993390</wp:posOffset>
            </wp:positionH>
            <wp:positionV relativeFrom="paragraph">
              <wp:posOffset>407670</wp:posOffset>
            </wp:positionV>
            <wp:extent cx="2811145" cy="2122170"/>
            <wp:effectExtent l="0" t="0" r="8255" b="0"/>
            <wp:wrapThrough wrapText="bothSides">
              <wp:wrapPolygon edited="0">
                <wp:start x="0" y="0"/>
                <wp:lineTo x="0" y="21329"/>
                <wp:lineTo x="21517" y="21329"/>
                <wp:lineTo x="2151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2889" w:rsidRPr="00B66DFE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86A3C" w14:textId="77777777" w:rsidR="002C346C" w:rsidRDefault="002C346C" w:rsidP="00DB697F">
      <w:pPr>
        <w:spacing w:after="0" w:line="240" w:lineRule="auto"/>
      </w:pPr>
      <w:r>
        <w:separator/>
      </w:r>
    </w:p>
  </w:endnote>
  <w:endnote w:type="continuationSeparator" w:id="0">
    <w:p w14:paraId="11266FE3" w14:textId="77777777" w:rsidR="002C346C" w:rsidRDefault="002C346C" w:rsidP="00DB6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PremrPro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60544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80ABCB" w14:textId="3FAE42FE" w:rsidR="00DB697F" w:rsidRDefault="00DB69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647DB2" w14:textId="77777777" w:rsidR="00DB697F" w:rsidRDefault="00DB69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6F95C" w14:textId="77777777" w:rsidR="002C346C" w:rsidRDefault="002C346C" w:rsidP="00DB697F">
      <w:pPr>
        <w:spacing w:after="0" w:line="240" w:lineRule="auto"/>
      </w:pPr>
      <w:r>
        <w:separator/>
      </w:r>
    </w:p>
  </w:footnote>
  <w:footnote w:type="continuationSeparator" w:id="0">
    <w:p w14:paraId="6F2F6B9A" w14:textId="77777777" w:rsidR="002C346C" w:rsidRDefault="002C346C" w:rsidP="00DB6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03"/>
    <w:rsid w:val="0000108B"/>
    <w:rsid w:val="00007548"/>
    <w:rsid w:val="00014203"/>
    <w:rsid w:val="0002105E"/>
    <w:rsid w:val="00026CBA"/>
    <w:rsid w:val="00041A3C"/>
    <w:rsid w:val="00052826"/>
    <w:rsid w:val="000530B5"/>
    <w:rsid w:val="0005501A"/>
    <w:rsid w:val="000868F6"/>
    <w:rsid w:val="000A110C"/>
    <w:rsid w:val="000A66E6"/>
    <w:rsid w:val="000C4A4C"/>
    <w:rsid w:val="000D1D9D"/>
    <w:rsid w:val="001209B6"/>
    <w:rsid w:val="00122267"/>
    <w:rsid w:val="00127026"/>
    <w:rsid w:val="001274C0"/>
    <w:rsid w:val="00140F50"/>
    <w:rsid w:val="00172717"/>
    <w:rsid w:val="0018227A"/>
    <w:rsid w:val="00187736"/>
    <w:rsid w:val="00187823"/>
    <w:rsid w:val="001B60C1"/>
    <w:rsid w:val="001C3AFF"/>
    <w:rsid w:val="00201C7C"/>
    <w:rsid w:val="002267E0"/>
    <w:rsid w:val="002273D9"/>
    <w:rsid w:val="002360CB"/>
    <w:rsid w:val="0023681A"/>
    <w:rsid w:val="00277076"/>
    <w:rsid w:val="002C346C"/>
    <w:rsid w:val="002C517B"/>
    <w:rsid w:val="002C6337"/>
    <w:rsid w:val="002C636D"/>
    <w:rsid w:val="002E729A"/>
    <w:rsid w:val="002F0443"/>
    <w:rsid w:val="00314C0A"/>
    <w:rsid w:val="003168B5"/>
    <w:rsid w:val="00327240"/>
    <w:rsid w:val="003321C8"/>
    <w:rsid w:val="003402ED"/>
    <w:rsid w:val="00353688"/>
    <w:rsid w:val="0036637B"/>
    <w:rsid w:val="0037108A"/>
    <w:rsid w:val="00374D6B"/>
    <w:rsid w:val="003C20B0"/>
    <w:rsid w:val="003D51F6"/>
    <w:rsid w:val="003E3FB7"/>
    <w:rsid w:val="003E409D"/>
    <w:rsid w:val="00400C24"/>
    <w:rsid w:val="004152FF"/>
    <w:rsid w:val="00425290"/>
    <w:rsid w:val="00427CE8"/>
    <w:rsid w:val="00432889"/>
    <w:rsid w:val="00452F03"/>
    <w:rsid w:val="00453622"/>
    <w:rsid w:val="00462DBF"/>
    <w:rsid w:val="00466F90"/>
    <w:rsid w:val="004E2BD0"/>
    <w:rsid w:val="004E3BA4"/>
    <w:rsid w:val="004F1841"/>
    <w:rsid w:val="004F52B9"/>
    <w:rsid w:val="004F7753"/>
    <w:rsid w:val="00500320"/>
    <w:rsid w:val="00512D5F"/>
    <w:rsid w:val="005133C8"/>
    <w:rsid w:val="0052522C"/>
    <w:rsid w:val="0053435F"/>
    <w:rsid w:val="00541791"/>
    <w:rsid w:val="00546635"/>
    <w:rsid w:val="00555DC7"/>
    <w:rsid w:val="00557435"/>
    <w:rsid w:val="00561864"/>
    <w:rsid w:val="00597EE8"/>
    <w:rsid w:val="005A3376"/>
    <w:rsid w:val="005B3C69"/>
    <w:rsid w:val="005E214D"/>
    <w:rsid w:val="005F03FD"/>
    <w:rsid w:val="00601E56"/>
    <w:rsid w:val="00602E71"/>
    <w:rsid w:val="00616B5E"/>
    <w:rsid w:val="00642825"/>
    <w:rsid w:val="006550A2"/>
    <w:rsid w:val="006654E2"/>
    <w:rsid w:val="006B713C"/>
    <w:rsid w:val="006B7D7C"/>
    <w:rsid w:val="006E6C41"/>
    <w:rsid w:val="006F5816"/>
    <w:rsid w:val="00700F6B"/>
    <w:rsid w:val="00715983"/>
    <w:rsid w:val="00725F59"/>
    <w:rsid w:val="00726D7C"/>
    <w:rsid w:val="00736767"/>
    <w:rsid w:val="00756977"/>
    <w:rsid w:val="0076256F"/>
    <w:rsid w:val="00796FD7"/>
    <w:rsid w:val="007B110A"/>
    <w:rsid w:val="007C071D"/>
    <w:rsid w:val="007E3762"/>
    <w:rsid w:val="007E3B56"/>
    <w:rsid w:val="007F044B"/>
    <w:rsid w:val="007F13DD"/>
    <w:rsid w:val="007F2273"/>
    <w:rsid w:val="007F4967"/>
    <w:rsid w:val="00821D81"/>
    <w:rsid w:val="008246C7"/>
    <w:rsid w:val="00827A30"/>
    <w:rsid w:val="00882820"/>
    <w:rsid w:val="008845A9"/>
    <w:rsid w:val="008A6C62"/>
    <w:rsid w:val="008B2875"/>
    <w:rsid w:val="008E404E"/>
    <w:rsid w:val="008E5CE9"/>
    <w:rsid w:val="00943B92"/>
    <w:rsid w:val="0096096B"/>
    <w:rsid w:val="00977334"/>
    <w:rsid w:val="00982F86"/>
    <w:rsid w:val="009B3A12"/>
    <w:rsid w:val="009B5FA9"/>
    <w:rsid w:val="009B6742"/>
    <w:rsid w:val="009D791F"/>
    <w:rsid w:val="00A017B8"/>
    <w:rsid w:val="00A02B30"/>
    <w:rsid w:val="00A0333A"/>
    <w:rsid w:val="00A10AAA"/>
    <w:rsid w:val="00A30438"/>
    <w:rsid w:val="00A553BE"/>
    <w:rsid w:val="00A9370A"/>
    <w:rsid w:val="00AA2334"/>
    <w:rsid w:val="00AA277D"/>
    <w:rsid w:val="00AF5D11"/>
    <w:rsid w:val="00B04B69"/>
    <w:rsid w:val="00B118FF"/>
    <w:rsid w:val="00B2066F"/>
    <w:rsid w:val="00B278C7"/>
    <w:rsid w:val="00B43788"/>
    <w:rsid w:val="00B649E0"/>
    <w:rsid w:val="00B66DFE"/>
    <w:rsid w:val="00B82EB4"/>
    <w:rsid w:val="00BB78FD"/>
    <w:rsid w:val="00BD149E"/>
    <w:rsid w:val="00BE78E2"/>
    <w:rsid w:val="00C00DE6"/>
    <w:rsid w:val="00C07812"/>
    <w:rsid w:val="00C21D8C"/>
    <w:rsid w:val="00C26D3A"/>
    <w:rsid w:val="00C4650C"/>
    <w:rsid w:val="00C46B7A"/>
    <w:rsid w:val="00C6038B"/>
    <w:rsid w:val="00C74C9D"/>
    <w:rsid w:val="00CB4EB6"/>
    <w:rsid w:val="00CC7D24"/>
    <w:rsid w:val="00CD45B6"/>
    <w:rsid w:val="00CE1672"/>
    <w:rsid w:val="00CE278A"/>
    <w:rsid w:val="00D029AC"/>
    <w:rsid w:val="00D04627"/>
    <w:rsid w:val="00D26EB5"/>
    <w:rsid w:val="00D47BBF"/>
    <w:rsid w:val="00D56A6A"/>
    <w:rsid w:val="00D61B0E"/>
    <w:rsid w:val="00D64F2A"/>
    <w:rsid w:val="00D84045"/>
    <w:rsid w:val="00D950DF"/>
    <w:rsid w:val="00DA27B2"/>
    <w:rsid w:val="00DB697F"/>
    <w:rsid w:val="00DD23FF"/>
    <w:rsid w:val="00DF335C"/>
    <w:rsid w:val="00DF36AB"/>
    <w:rsid w:val="00E006BB"/>
    <w:rsid w:val="00E03C59"/>
    <w:rsid w:val="00E11CF3"/>
    <w:rsid w:val="00E213C6"/>
    <w:rsid w:val="00E538FD"/>
    <w:rsid w:val="00E6513D"/>
    <w:rsid w:val="00E76519"/>
    <w:rsid w:val="00E9023B"/>
    <w:rsid w:val="00E92B45"/>
    <w:rsid w:val="00EA0B84"/>
    <w:rsid w:val="00EA433A"/>
    <w:rsid w:val="00EE2EF6"/>
    <w:rsid w:val="00EF1A60"/>
    <w:rsid w:val="00F24CE1"/>
    <w:rsid w:val="00F30507"/>
    <w:rsid w:val="00F76407"/>
    <w:rsid w:val="00F8427C"/>
    <w:rsid w:val="00F9240E"/>
    <w:rsid w:val="00F928D3"/>
    <w:rsid w:val="00F9344F"/>
    <w:rsid w:val="00FA52B6"/>
    <w:rsid w:val="00FB0E60"/>
    <w:rsid w:val="00FE6AAA"/>
    <w:rsid w:val="00FE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4E67A"/>
  <w15:chartTrackingRefBased/>
  <w15:docId w15:val="{8A4B7876-8EBE-4BBE-A2FA-F685D9DC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link w:val="ParagraphChar"/>
    <w:rsid w:val="006550A2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ParagraphChar">
    <w:name w:val="Paragraph Char"/>
    <w:link w:val="Paragraph"/>
    <w:rsid w:val="006550A2"/>
    <w:rPr>
      <w:rFonts w:ascii="Times New Roman" w:eastAsiaTheme="minorEastAsia" w:hAnsi="Times New Roman" w:cs="Times New Roman"/>
      <w:sz w:val="24"/>
      <w:szCs w:val="24"/>
    </w:rPr>
  </w:style>
  <w:style w:type="paragraph" w:customStyle="1" w:styleId="Heading2Unnumbered">
    <w:name w:val="Heading 2 Unnumbered"/>
    <w:next w:val="Paragraph"/>
    <w:rsid w:val="00756977"/>
    <w:pPr>
      <w:keepNext/>
      <w:spacing w:before="120" w:after="120" w:line="240" w:lineRule="auto"/>
      <w:outlineLvl w:val="1"/>
    </w:pPr>
    <w:rPr>
      <w:rFonts w:ascii="Times New Roman" w:eastAsiaTheme="minorEastAsia" w:hAnsi="Times New Roman" w:cs="Times New Roman"/>
      <w:b/>
      <w:sz w:val="24"/>
      <w:szCs w:val="20"/>
    </w:rPr>
  </w:style>
  <w:style w:type="table" w:styleId="PlainTable2">
    <w:name w:val="Plain Table 2"/>
    <w:basedOn w:val="TableNormal"/>
    <w:uiPriority w:val="42"/>
    <w:rsid w:val="000D1D9D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B6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97F"/>
  </w:style>
  <w:style w:type="paragraph" w:styleId="Footer">
    <w:name w:val="footer"/>
    <w:basedOn w:val="Normal"/>
    <w:link w:val="FooterChar"/>
    <w:uiPriority w:val="99"/>
    <w:unhideWhenUsed/>
    <w:rsid w:val="00DB6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97F"/>
  </w:style>
  <w:style w:type="paragraph" w:styleId="Revision">
    <w:name w:val="Revision"/>
    <w:hidden/>
    <w:uiPriority w:val="99"/>
    <w:semiHidden/>
    <w:rsid w:val="00E651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1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07549-325C-4630-9BE9-FBD52826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Di, Li</dc:creator>
  <cp:keywords/>
  <dc:description/>
  <cp:lastModifiedBy>Di, Li</cp:lastModifiedBy>
  <cp:revision>2</cp:revision>
  <dcterms:created xsi:type="dcterms:W3CDTF">2023-05-21T00:50:00Z</dcterms:created>
  <dcterms:modified xsi:type="dcterms:W3CDTF">2023-05-21T00:50:00Z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da22f8-c169-4ff2-bd8c-c9797308d5a4_Enabled">
    <vt:lpwstr>true</vt:lpwstr>
  </property>
  <property fmtid="{D5CDD505-2E9C-101B-9397-08002B2CF9AE}" pid="3" name="MSIP_Label_98da22f8-c169-4ff2-bd8c-c9797308d5a4_SetDate">
    <vt:lpwstr>2022-11-16T17:34:51Z</vt:lpwstr>
  </property>
  <property fmtid="{D5CDD505-2E9C-101B-9397-08002B2CF9AE}" pid="4" name="MSIP_Label_98da22f8-c169-4ff2-bd8c-c9797308d5a4_Method">
    <vt:lpwstr>Privileged</vt:lpwstr>
  </property>
  <property fmtid="{D5CDD505-2E9C-101B-9397-08002B2CF9AE}" pid="5" name="MSIP_Label_98da22f8-c169-4ff2-bd8c-c9797308d5a4_Name">
    <vt:lpwstr>98da22f8-c169-4ff2-bd8c-c9797308d5a4</vt:lpwstr>
  </property>
  <property fmtid="{D5CDD505-2E9C-101B-9397-08002B2CF9AE}" pid="6" name="MSIP_Label_98da22f8-c169-4ff2-bd8c-c9797308d5a4_SiteId">
    <vt:lpwstr>7a916015-20ae-4ad1-9170-eefd915e9272</vt:lpwstr>
  </property>
  <property fmtid="{D5CDD505-2E9C-101B-9397-08002B2CF9AE}" pid="7" name="MSIP_Label_98da22f8-c169-4ff2-bd8c-c9797308d5a4_ActionId">
    <vt:lpwstr>358e6933-4a8a-49bc-b153-292e3d0ba3c1</vt:lpwstr>
  </property>
  <property fmtid="{D5CDD505-2E9C-101B-9397-08002B2CF9AE}" pid="8" name="MSIP_Label_98da22f8-c169-4ff2-bd8c-c9797308d5a4_ContentBits">
    <vt:lpwstr>0</vt:lpwstr>
  </property>
</Properties>
</file>