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D296A" w14:textId="77777777" w:rsidR="00AD328C" w:rsidRPr="004F76FC" w:rsidRDefault="00AD328C" w:rsidP="00AD328C">
      <w:pPr>
        <w:spacing w:line="360" w:lineRule="auto"/>
        <w:jc w:val="center"/>
        <w:rPr>
          <w:rFonts w:asciiTheme="majorHAnsi" w:hAnsiTheme="majorHAnsi" w:cstheme="majorHAnsi"/>
          <w:b/>
          <w:sz w:val="36"/>
          <w:szCs w:val="36"/>
        </w:rPr>
      </w:pPr>
      <w:r w:rsidRPr="004F76FC">
        <w:rPr>
          <w:rFonts w:asciiTheme="majorHAnsi" w:hAnsiTheme="majorHAnsi" w:cstheme="majorHAnsi"/>
          <w:b/>
          <w:sz w:val="36"/>
          <w:szCs w:val="36"/>
        </w:rPr>
        <w:t>ΕΘΝΙΚΟ ΚΑΙ ΚΑΠΟΔΙΣΤΡΙΑΚΟ ΠΑΝΕΠΙΣΤΗΜΙΟ ΑΘΗΝΩΝ</w:t>
      </w:r>
    </w:p>
    <w:p w14:paraId="117A91C4" w14:textId="77777777" w:rsidR="00AD328C" w:rsidRPr="004F76FC" w:rsidRDefault="00AD328C" w:rsidP="00AD328C">
      <w:pPr>
        <w:spacing w:line="360" w:lineRule="auto"/>
        <w:jc w:val="center"/>
        <w:rPr>
          <w:rFonts w:asciiTheme="majorHAnsi" w:hAnsiTheme="majorHAnsi" w:cstheme="majorHAnsi"/>
          <w:b/>
          <w:sz w:val="36"/>
          <w:szCs w:val="36"/>
        </w:rPr>
      </w:pPr>
      <w:r w:rsidRPr="004F76FC">
        <w:rPr>
          <w:rFonts w:asciiTheme="majorHAnsi" w:hAnsiTheme="majorHAnsi" w:cstheme="majorHAnsi"/>
          <w:b/>
          <w:noProof/>
          <w:sz w:val="36"/>
          <w:szCs w:val="36"/>
        </w:rPr>
        <w:drawing>
          <wp:inline distT="0" distB="0" distL="0" distR="0" wp14:anchorId="148E5C45" wp14:editId="34766D54">
            <wp:extent cx="1250925" cy="1955304"/>
            <wp:effectExtent l="0" t="0" r="6985" b="698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30811154128!Logo_uoa_blu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01813" cy="2034846"/>
                    </a:xfrm>
                    <a:prstGeom prst="rect">
                      <a:avLst/>
                    </a:prstGeom>
                  </pic:spPr>
                </pic:pic>
              </a:graphicData>
            </a:graphic>
          </wp:inline>
        </w:drawing>
      </w:r>
    </w:p>
    <w:p w14:paraId="2636BFE8" w14:textId="77777777" w:rsidR="00AD328C" w:rsidRPr="004F76FC" w:rsidRDefault="00AD328C" w:rsidP="00AD328C">
      <w:pPr>
        <w:spacing w:after="0" w:line="240" w:lineRule="auto"/>
        <w:jc w:val="center"/>
        <w:rPr>
          <w:rFonts w:asciiTheme="majorHAnsi" w:hAnsiTheme="majorHAnsi" w:cstheme="majorHAnsi"/>
          <w:sz w:val="28"/>
          <w:szCs w:val="28"/>
        </w:rPr>
      </w:pPr>
      <w:r w:rsidRPr="004F76FC">
        <w:rPr>
          <w:rFonts w:asciiTheme="majorHAnsi" w:hAnsiTheme="majorHAnsi" w:cstheme="majorHAnsi"/>
          <w:sz w:val="28"/>
          <w:szCs w:val="28"/>
        </w:rPr>
        <w:t>ΣΧΟΛΗ ΘΕΤΙΚΩΝ ΕΠΙΣΤΗΜΩΝ</w:t>
      </w:r>
    </w:p>
    <w:p w14:paraId="1D6CE77F" w14:textId="77777777" w:rsidR="00AD328C" w:rsidRPr="004F76FC" w:rsidRDefault="00AD328C" w:rsidP="00AD328C">
      <w:pPr>
        <w:spacing w:after="0" w:line="240" w:lineRule="auto"/>
        <w:jc w:val="center"/>
        <w:rPr>
          <w:rFonts w:asciiTheme="majorHAnsi" w:hAnsiTheme="majorHAnsi" w:cstheme="majorHAnsi"/>
          <w:sz w:val="28"/>
          <w:szCs w:val="28"/>
        </w:rPr>
      </w:pPr>
      <w:r w:rsidRPr="004F76FC">
        <w:rPr>
          <w:rFonts w:asciiTheme="majorHAnsi" w:hAnsiTheme="majorHAnsi" w:cstheme="majorHAnsi"/>
          <w:sz w:val="28"/>
          <w:szCs w:val="28"/>
        </w:rPr>
        <w:t>ΤΜΗΜΑ ΧΗΜΕΙΑΣ</w:t>
      </w:r>
    </w:p>
    <w:p w14:paraId="75F9C029" w14:textId="18BF98EE" w:rsidR="00AD328C" w:rsidRPr="004F76FC" w:rsidRDefault="00AD328C" w:rsidP="00AD328C">
      <w:pPr>
        <w:spacing w:after="0" w:line="240" w:lineRule="auto"/>
        <w:jc w:val="center"/>
        <w:rPr>
          <w:rFonts w:asciiTheme="majorHAnsi" w:hAnsiTheme="majorHAnsi" w:cstheme="majorHAnsi"/>
          <w:sz w:val="28"/>
          <w:szCs w:val="28"/>
        </w:rPr>
      </w:pPr>
      <w:r w:rsidRPr="004F76FC">
        <w:rPr>
          <w:rFonts w:asciiTheme="majorHAnsi" w:hAnsiTheme="majorHAnsi" w:cstheme="majorHAnsi"/>
          <w:sz w:val="28"/>
          <w:szCs w:val="28"/>
        </w:rPr>
        <w:t>ΜΕΤΑΠΤΥΧΙΑΚΟ ΠΡΟΓΡΑΜΜΑ «ΦΥΣΙΚΟΧΗΜΕΙΑ»</w:t>
      </w:r>
    </w:p>
    <w:p w14:paraId="094DDA9C" w14:textId="77777777" w:rsidR="00AD328C" w:rsidRPr="004F76FC" w:rsidRDefault="00AD328C" w:rsidP="00AD328C">
      <w:pPr>
        <w:spacing w:after="0" w:line="240" w:lineRule="auto"/>
        <w:jc w:val="center"/>
        <w:rPr>
          <w:rFonts w:asciiTheme="majorHAnsi" w:hAnsiTheme="majorHAnsi" w:cstheme="majorHAnsi"/>
          <w:sz w:val="32"/>
          <w:szCs w:val="32"/>
        </w:rPr>
      </w:pPr>
    </w:p>
    <w:p w14:paraId="0AC853F0" w14:textId="77777777" w:rsidR="00AD328C" w:rsidRPr="004F76FC" w:rsidRDefault="00AD328C" w:rsidP="00AD328C">
      <w:pPr>
        <w:spacing w:after="0" w:line="240" w:lineRule="auto"/>
        <w:jc w:val="center"/>
        <w:rPr>
          <w:rFonts w:asciiTheme="majorHAnsi" w:hAnsiTheme="majorHAnsi" w:cstheme="majorHAnsi"/>
          <w:b/>
          <w:sz w:val="32"/>
          <w:szCs w:val="32"/>
        </w:rPr>
      </w:pPr>
      <w:r w:rsidRPr="004F76FC">
        <w:rPr>
          <w:rFonts w:asciiTheme="majorHAnsi" w:hAnsiTheme="majorHAnsi" w:cstheme="majorHAnsi"/>
          <w:b/>
          <w:sz w:val="32"/>
          <w:szCs w:val="32"/>
        </w:rPr>
        <w:t>ΕΡΓΑΣΙΑ ΓΙΑ ΤΟ ΜΑΘΗΜΑ</w:t>
      </w:r>
    </w:p>
    <w:p w14:paraId="4248D9AE" w14:textId="1881A5D0" w:rsidR="00AD328C" w:rsidRPr="004F76FC" w:rsidRDefault="00AD328C" w:rsidP="00AD328C">
      <w:pPr>
        <w:spacing w:after="0" w:line="240" w:lineRule="auto"/>
        <w:jc w:val="center"/>
        <w:rPr>
          <w:rFonts w:asciiTheme="majorHAnsi" w:hAnsiTheme="majorHAnsi" w:cstheme="majorHAnsi"/>
          <w:b/>
          <w:sz w:val="36"/>
          <w:szCs w:val="36"/>
        </w:rPr>
      </w:pPr>
      <w:r w:rsidRPr="004F76FC">
        <w:rPr>
          <w:rFonts w:asciiTheme="majorHAnsi" w:hAnsiTheme="majorHAnsi" w:cstheme="majorHAnsi"/>
          <w:b/>
          <w:sz w:val="36"/>
          <w:szCs w:val="36"/>
        </w:rPr>
        <w:t xml:space="preserve"> «ΜΟΡΙΑΚΗ ΦΑΣΜΑΤΟΣΚΟΠΙΑ»</w:t>
      </w:r>
    </w:p>
    <w:p w14:paraId="7FD3CA97" w14:textId="77777777" w:rsidR="00AD328C" w:rsidRPr="004F76FC" w:rsidRDefault="00AD328C" w:rsidP="00AD328C">
      <w:pPr>
        <w:spacing w:after="0" w:line="360" w:lineRule="auto"/>
        <w:jc w:val="center"/>
        <w:rPr>
          <w:rFonts w:asciiTheme="majorHAnsi" w:hAnsiTheme="majorHAnsi" w:cstheme="majorHAnsi"/>
          <w:b/>
          <w:sz w:val="36"/>
          <w:szCs w:val="36"/>
        </w:rPr>
      </w:pPr>
    </w:p>
    <w:p w14:paraId="71016E69" w14:textId="6DF55C40" w:rsidR="004F76FC" w:rsidRPr="00827CE3" w:rsidRDefault="004F76FC" w:rsidP="004F76FC">
      <w:pPr>
        <w:spacing w:after="0" w:line="360" w:lineRule="auto"/>
        <w:jc w:val="center"/>
        <w:rPr>
          <w:rFonts w:asciiTheme="majorHAnsi" w:hAnsiTheme="majorHAnsi" w:cstheme="majorHAnsi"/>
          <w:b/>
          <w:noProof/>
          <w:sz w:val="36"/>
          <w:szCs w:val="36"/>
          <w:lang w:val="en-US"/>
        </w:rPr>
      </w:pPr>
      <w:r w:rsidRPr="004F76FC">
        <w:rPr>
          <w:rFonts w:asciiTheme="majorHAnsi" w:hAnsiTheme="majorHAnsi" w:cstheme="majorHAnsi"/>
          <w:b/>
          <w:noProof/>
          <w:sz w:val="36"/>
          <w:szCs w:val="36"/>
        </w:rPr>
        <w:t>Παρουσίαση</w:t>
      </w:r>
      <w:r w:rsidRPr="00827CE3">
        <w:rPr>
          <w:rFonts w:asciiTheme="majorHAnsi" w:hAnsiTheme="majorHAnsi" w:cstheme="majorHAnsi"/>
          <w:b/>
          <w:noProof/>
          <w:sz w:val="36"/>
          <w:szCs w:val="36"/>
          <w:lang w:val="en-US"/>
        </w:rPr>
        <w:t xml:space="preserve"> </w:t>
      </w:r>
      <w:r w:rsidRPr="004F76FC">
        <w:rPr>
          <w:rFonts w:asciiTheme="majorHAnsi" w:hAnsiTheme="majorHAnsi" w:cstheme="majorHAnsi"/>
          <w:b/>
          <w:noProof/>
          <w:sz w:val="36"/>
          <w:szCs w:val="36"/>
        </w:rPr>
        <w:t>Άρθρου</w:t>
      </w:r>
      <w:r w:rsidRPr="00827CE3">
        <w:rPr>
          <w:rFonts w:asciiTheme="majorHAnsi" w:hAnsiTheme="majorHAnsi" w:cstheme="majorHAnsi"/>
          <w:b/>
          <w:noProof/>
          <w:sz w:val="36"/>
          <w:szCs w:val="36"/>
          <w:lang w:val="en-US"/>
        </w:rPr>
        <w:t xml:space="preserve"> </w:t>
      </w:r>
      <w:r w:rsidRPr="004F76FC">
        <w:rPr>
          <w:rFonts w:asciiTheme="majorHAnsi" w:hAnsiTheme="majorHAnsi" w:cstheme="majorHAnsi"/>
          <w:b/>
          <w:noProof/>
          <w:sz w:val="36"/>
          <w:szCs w:val="36"/>
        </w:rPr>
        <w:t>με</w:t>
      </w:r>
      <w:r w:rsidRPr="00827CE3">
        <w:rPr>
          <w:rFonts w:asciiTheme="majorHAnsi" w:hAnsiTheme="majorHAnsi" w:cstheme="majorHAnsi"/>
          <w:b/>
          <w:noProof/>
          <w:sz w:val="36"/>
          <w:szCs w:val="36"/>
          <w:lang w:val="en-US"/>
        </w:rPr>
        <w:t xml:space="preserve"> </w:t>
      </w:r>
      <w:r w:rsidRPr="004F76FC">
        <w:rPr>
          <w:rFonts w:asciiTheme="majorHAnsi" w:hAnsiTheme="majorHAnsi" w:cstheme="majorHAnsi"/>
          <w:b/>
          <w:noProof/>
          <w:sz w:val="36"/>
          <w:szCs w:val="36"/>
        </w:rPr>
        <w:t>Τίτλο</w:t>
      </w:r>
    </w:p>
    <w:p w14:paraId="78E0F97C" w14:textId="7D2A878D" w:rsidR="004F76FC" w:rsidRPr="004F76FC" w:rsidRDefault="004F76FC" w:rsidP="004F76FC">
      <w:pPr>
        <w:spacing w:after="0" w:line="360" w:lineRule="auto"/>
        <w:jc w:val="center"/>
        <w:rPr>
          <w:rFonts w:asciiTheme="majorHAnsi" w:hAnsiTheme="majorHAnsi" w:cstheme="majorHAnsi"/>
          <w:b/>
          <w:noProof/>
          <w:sz w:val="36"/>
          <w:szCs w:val="36"/>
          <w:lang w:val="en-US"/>
        </w:rPr>
      </w:pPr>
      <w:r w:rsidRPr="004F76FC">
        <w:rPr>
          <w:rFonts w:asciiTheme="majorHAnsi" w:hAnsiTheme="majorHAnsi" w:cstheme="majorHAnsi"/>
          <w:b/>
          <w:noProof/>
          <w:sz w:val="36"/>
          <w:szCs w:val="36"/>
          <w:lang w:val="en-US"/>
        </w:rPr>
        <w:t>«Ultrafast Vibrational Spectroscopy of Cyanophenols”</w:t>
      </w:r>
    </w:p>
    <w:p w14:paraId="639F2FA5" w14:textId="4731AEF4" w:rsidR="004F76FC" w:rsidRPr="004F76FC" w:rsidRDefault="004F76FC" w:rsidP="004F76FC">
      <w:pPr>
        <w:spacing w:after="0" w:line="276" w:lineRule="auto"/>
        <w:jc w:val="center"/>
        <w:rPr>
          <w:rFonts w:asciiTheme="majorHAnsi" w:hAnsiTheme="majorHAnsi" w:cstheme="majorHAnsi"/>
          <w:bCs/>
          <w:noProof/>
          <w:sz w:val="28"/>
          <w:szCs w:val="28"/>
          <w:lang w:val="en-US"/>
        </w:rPr>
      </w:pPr>
      <w:r w:rsidRPr="004F76FC">
        <w:rPr>
          <w:rFonts w:asciiTheme="majorHAnsi" w:hAnsiTheme="majorHAnsi" w:cstheme="majorHAnsi"/>
          <w:bCs/>
          <w:noProof/>
          <w:sz w:val="28"/>
          <w:szCs w:val="28"/>
          <w:lang w:val="en-US"/>
        </w:rPr>
        <w:t>Journal of Physical Chemistry A</w:t>
      </w:r>
    </w:p>
    <w:p w14:paraId="58119F94" w14:textId="133A170F" w:rsidR="004F76FC" w:rsidRPr="004F76FC" w:rsidRDefault="004F76FC" w:rsidP="004F76FC">
      <w:pPr>
        <w:spacing w:after="0" w:line="276" w:lineRule="auto"/>
        <w:jc w:val="center"/>
        <w:rPr>
          <w:rFonts w:asciiTheme="majorHAnsi" w:hAnsiTheme="majorHAnsi" w:cstheme="majorHAnsi"/>
          <w:bCs/>
          <w:noProof/>
          <w:sz w:val="28"/>
          <w:szCs w:val="28"/>
          <w:lang w:val="en-US"/>
        </w:rPr>
      </w:pPr>
      <w:r w:rsidRPr="004F76FC">
        <w:rPr>
          <w:rFonts w:asciiTheme="majorHAnsi" w:hAnsiTheme="majorHAnsi" w:cstheme="majorHAnsi"/>
          <w:bCs/>
          <w:noProof/>
          <w:sz w:val="28"/>
          <w:szCs w:val="28"/>
          <w:lang w:val="en-US"/>
        </w:rPr>
        <w:t>2010, 114, 2757-2767</w:t>
      </w:r>
    </w:p>
    <w:p w14:paraId="691C4907" w14:textId="63E8AE53" w:rsidR="004F76FC" w:rsidRDefault="004F76FC" w:rsidP="004F76FC">
      <w:pPr>
        <w:spacing w:after="0" w:line="360" w:lineRule="auto"/>
        <w:rPr>
          <w:rFonts w:asciiTheme="majorHAnsi" w:hAnsiTheme="majorHAnsi" w:cstheme="majorHAnsi"/>
          <w:b/>
          <w:noProof/>
          <w:sz w:val="36"/>
          <w:szCs w:val="36"/>
          <w:lang w:val="en-US"/>
        </w:rPr>
      </w:pPr>
    </w:p>
    <w:p w14:paraId="707481DD" w14:textId="40A6E1B6" w:rsidR="004F76FC" w:rsidRDefault="004F76FC" w:rsidP="004F76FC">
      <w:pPr>
        <w:spacing w:after="0" w:line="360" w:lineRule="auto"/>
        <w:rPr>
          <w:rFonts w:asciiTheme="majorHAnsi" w:hAnsiTheme="majorHAnsi" w:cstheme="majorHAnsi"/>
          <w:b/>
          <w:noProof/>
          <w:sz w:val="36"/>
          <w:szCs w:val="36"/>
          <w:lang w:val="en-US"/>
        </w:rPr>
      </w:pPr>
    </w:p>
    <w:p w14:paraId="5D2DE8A5" w14:textId="77777777" w:rsidR="004F76FC" w:rsidRPr="004F76FC" w:rsidRDefault="004F76FC" w:rsidP="004F76FC">
      <w:pPr>
        <w:spacing w:after="0" w:line="360" w:lineRule="auto"/>
        <w:rPr>
          <w:rFonts w:asciiTheme="majorHAnsi" w:hAnsiTheme="majorHAnsi" w:cstheme="majorHAnsi"/>
          <w:b/>
          <w:noProof/>
          <w:sz w:val="36"/>
          <w:szCs w:val="36"/>
          <w:lang w:val="en-US"/>
        </w:rPr>
      </w:pPr>
    </w:p>
    <w:p w14:paraId="499CE50B" w14:textId="705DAE63" w:rsidR="00AD328C" w:rsidRPr="00827CE3" w:rsidRDefault="00AD328C" w:rsidP="00AD328C">
      <w:pPr>
        <w:spacing w:line="240" w:lineRule="auto"/>
        <w:jc w:val="center"/>
        <w:rPr>
          <w:rFonts w:asciiTheme="majorHAnsi" w:hAnsiTheme="majorHAnsi" w:cstheme="majorHAnsi"/>
          <w:sz w:val="28"/>
          <w:szCs w:val="28"/>
        </w:rPr>
      </w:pPr>
      <w:r w:rsidRPr="004F76FC">
        <w:rPr>
          <w:rFonts w:asciiTheme="majorHAnsi" w:hAnsiTheme="majorHAnsi" w:cstheme="majorHAnsi"/>
          <w:sz w:val="28"/>
          <w:szCs w:val="28"/>
        </w:rPr>
        <w:t>Ευαγγελία</w:t>
      </w:r>
      <w:r w:rsidRPr="00827CE3">
        <w:rPr>
          <w:rFonts w:asciiTheme="majorHAnsi" w:hAnsiTheme="majorHAnsi" w:cstheme="majorHAnsi"/>
          <w:sz w:val="28"/>
          <w:szCs w:val="28"/>
        </w:rPr>
        <w:t>-</w:t>
      </w:r>
      <w:r w:rsidRPr="004F76FC">
        <w:rPr>
          <w:rFonts w:asciiTheme="majorHAnsi" w:hAnsiTheme="majorHAnsi" w:cstheme="majorHAnsi"/>
          <w:sz w:val="28"/>
          <w:szCs w:val="28"/>
        </w:rPr>
        <w:t>Θεοδώρα</w:t>
      </w:r>
      <w:r w:rsidRPr="00827CE3">
        <w:rPr>
          <w:rFonts w:asciiTheme="majorHAnsi" w:hAnsiTheme="majorHAnsi" w:cstheme="majorHAnsi"/>
          <w:sz w:val="28"/>
          <w:szCs w:val="28"/>
        </w:rPr>
        <w:t xml:space="preserve"> </w:t>
      </w:r>
      <w:r w:rsidRPr="004F76FC">
        <w:rPr>
          <w:rFonts w:asciiTheme="majorHAnsi" w:hAnsiTheme="majorHAnsi" w:cstheme="majorHAnsi"/>
          <w:sz w:val="28"/>
          <w:szCs w:val="28"/>
        </w:rPr>
        <w:t>Πούλη</w:t>
      </w:r>
      <w:r w:rsidRPr="00827CE3">
        <w:rPr>
          <w:rFonts w:asciiTheme="majorHAnsi" w:hAnsiTheme="majorHAnsi" w:cstheme="majorHAnsi"/>
          <w:sz w:val="28"/>
          <w:szCs w:val="28"/>
        </w:rPr>
        <w:t xml:space="preserve"> (</w:t>
      </w:r>
      <w:r w:rsidRPr="004F76FC">
        <w:rPr>
          <w:rFonts w:asciiTheme="majorHAnsi" w:hAnsiTheme="majorHAnsi" w:cstheme="majorHAnsi"/>
          <w:sz w:val="28"/>
          <w:szCs w:val="28"/>
        </w:rPr>
        <w:t>Α</w:t>
      </w:r>
      <w:r w:rsidRPr="00827CE3">
        <w:rPr>
          <w:rFonts w:asciiTheme="majorHAnsi" w:hAnsiTheme="majorHAnsi" w:cstheme="majorHAnsi"/>
          <w:sz w:val="28"/>
          <w:szCs w:val="28"/>
        </w:rPr>
        <w:t>.</w:t>
      </w:r>
      <w:r w:rsidRPr="004F76FC">
        <w:rPr>
          <w:rFonts w:asciiTheme="majorHAnsi" w:hAnsiTheme="majorHAnsi" w:cstheme="majorHAnsi"/>
          <w:sz w:val="28"/>
          <w:szCs w:val="28"/>
        </w:rPr>
        <w:t>Μ</w:t>
      </w:r>
      <w:r w:rsidRPr="00827CE3">
        <w:rPr>
          <w:rFonts w:asciiTheme="majorHAnsi" w:hAnsiTheme="majorHAnsi" w:cstheme="majorHAnsi"/>
          <w:sz w:val="28"/>
          <w:szCs w:val="28"/>
        </w:rPr>
        <w:t>.: 201907)</w:t>
      </w:r>
    </w:p>
    <w:p w14:paraId="13A1BF40" w14:textId="50EC353A" w:rsidR="009D29D8" w:rsidRDefault="00AD328C" w:rsidP="00AD328C">
      <w:pPr>
        <w:spacing w:line="240" w:lineRule="auto"/>
        <w:jc w:val="center"/>
        <w:rPr>
          <w:rFonts w:asciiTheme="majorHAnsi" w:hAnsiTheme="majorHAnsi" w:cstheme="majorHAnsi"/>
          <w:b/>
          <w:bCs/>
          <w:sz w:val="28"/>
          <w:szCs w:val="28"/>
        </w:rPr>
      </w:pPr>
      <w:r w:rsidRPr="004F76FC">
        <w:rPr>
          <w:rFonts w:asciiTheme="majorHAnsi" w:hAnsiTheme="majorHAnsi" w:cstheme="majorHAnsi"/>
          <w:b/>
          <w:bCs/>
          <w:sz w:val="28"/>
          <w:szCs w:val="28"/>
        </w:rPr>
        <w:t>ΑΘΗΝΑ 2021</w:t>
      </w:r>
    </w:p>
    <w:p w14:paraId="10C2C445" w14:textId="1AF04883" w:rsidR="002141CE" w:rsidRDefault="002141CE" w:rsidP="00AD328C">
      <w:pPr>
        <w:spacing w:line="240" w:lineRule="auto"/>
        <w:jc w:val="center"/>
        <w:rPr>
          <w:rFonts w:asciiTheme="majorHAnsi" w:hAnsiTheme="majorHAnsi" w:cstheme="majorHAnsi"/>
          <w:b/>
          <w:bCs/>
          <w:sz w:val="28"/>
          <w:szCs w:val="28"/>
        </w:rPr>
      </w:pPr>
    </w:p>
    <w:p w14:paraId="0F1A7AF9" w14:textId="05EC4A79" w:rsidR="002141CE" w:rsidRDefault="002141CE" w:rsidP="00AD328C">
      <w:pPr>
        <w:spacing w:line="240" w:lineRule="auto"/>
        <w:jc w:val="center"/>
        <w:rPr>
          <w:rFonts w:asciiTheme="majorHAnsi" w:hAnsiTheme="majorHAnsi" w:cstheme="majorHAnsi"/>
          <w:b/>
          <w:bCs/>
          <w:sz w:val="28"/>
          <w:szCs w:val="28"/>
        </w:rPr>
      </w:pPr>
    </w:p>
    <w:p w14:paraId="54F1B748" w14:textId="58112F41" w:rsidR="002141CE" w:rsidRDefault="002141CE" w:rsidP="00AD328C">
      <w:pPr>
        <w:spacing w:line="240" w:lineRule="auto"/>
        <w:jc w:val="center"/>
        <w:rPr>
          <w:rFonts w:asciiTheme="majorHAnsi" w:hAnsiTheme="majorHAnsi" w:cstheme="majorHAnsi"/>
          <w:b/>
          <w:bCs/>
          <w:sz w:val="28"/>
          <w:szCs w:val="28"/>
        </w:rPr>
      </w:pPr>
    </w:p>
    <w:p w14:paraId="264EB23F" w14:textId="0AEEEA80" w:rsidR="002141CE" w:rsidRPr="004933BC" w:rsidRDefault="004933BC" w:rsidP="004933BC">
      <w:pPr>
        <w:pStyle w:val="1"/>
      </w:pPr>
      <w:r>
        <w:lastRenderedPageBreak/>
        <w:t>ΕΙΣΑΓΩΓΗ</w:t>
      </w:r>
    </w:p>
    <w:p w14:paraId="3C79B6E3" w14:textId="7BB141EF" w:rsidR="002141CE" w:rsidRDefault="004B3BDE" w:rsidP="002141CE">
      <w:pPr>
        <w:spacing w:line="240" w:lineRule="auto"/>
        <w:jc w:val="both"/>
        <w:rPr>
          <w:rFonts w:asciiTheme="majorHAnsi" w:hAnsiTheme="majorHAnsi" w:cstheme="majorHAnsi"/>
        </w:rPr>
      </w:pPr>
      <w:r>
        <w:rPr>
          <w:rFonts w:asciiTheme="majorHAnsi" w:hAnsiTheme="majorHAnsi" w:cstheme="majorHAnsi"/>
        </w:rPr>
        <w:t xml:space="preserve">Οι αντιδράσεις αρωματικής υποκατάστασης εμπεριέχουν πολυάριθμες ενδομοριακές και διαμοριακές διεργασίες. Ένα από τα πρώτα συμβάντα αυτής της αντίδρασης είναι ο διασκορπισμός της ενέργειας της (ενεργοποιημένης) μεταβατικής κατάστασης προς ενδομοριακούς κανονικούς τρόπους δόνησης ή </w:t>
      </w:r>
      <w:r w:rsidR="006B0C70">
        <w:rPr>
          <w:rFonts w:asciiTheme="majorHAnsi" w:hAnsiTheme="majorHAnsi" w:cstheme="majorHAnsi"/>
        </w:rPr>
        <w:t>περιβαλλοντικούς τρόπους δόνησης</w:t>
      </w:r>
      <w:r>
        <w:rPr>
          <w:rFonts w:asciiTheme="majorHAnsi" w:hAnsiTheme="majorHAnsi" w:cstheme="majorHAnsi"/>
        </w:rPr>
        <w:t xml:space="preserve">, </w:t>
      </w:r>
      <w:r w:rsidR="006B0C70">
        <w:rPr>
          <w:rFonts w:asciiTheme="majorHAnsi" w:hAnsiTheme="majorHAnsi" w:cstheme="majorHAnsi"/>
        </w:rPr>
        <w:t>οι οποίοι είναι αναρμονικά συζευγμένοι</w:t>
      </w:r>
      <w:r>
        <w:rPr>
          <w:rFonts w:asciiTheme="majorHAnsi" w:hAnsiTheme="majorHAnsi" w:cstheme="majorHAnsi"/>
        </w:rPr>
        <w:t xml:space="preserve"> με τους αρχικούς τρόπους δόνησης</w:t>
      </w:r>
      <w:r w:rsidR="006B0C70">
        <w:rPr>
          <w:rFonts w:asciiTheme="majorHAnsi" w:hAnsiTheme="majorHAnsi" w:cstheme="majorHAnsi"/>
        </w:rPr>
        <w:t xml:space="preserve"> της διεγερμένης κατάστασης. </w:t>
      </w:r>
    </w:p>
    <w:p w14:paraId="5A3B6555" w14:textId="2D6D5B66" w:rsidR="006B0C70" w:rsidRPr="002C2555" w:rsidRDefault="006B0C70" w:rsidP="002141CE">
      <w:pPr>
        <w:spacing w:line="240" w:lineRule="auto"/>
        <w:jc w:val="both"/>
        <w:rPr>
          <w:rFonts w:asciiTheme="majorHAnsi" w:hAnsiTheme="majorHAnsi" w:cstheme="majorHAnsi"/>
        </w:rPr>
      </w:pPr>
      <w:r>
        <w:rPr>
          <w:rFonts w:asciiTheme="majorHAnsi" w:hAnsiTheme="majorHAnsi" w:cstheme="majorHAnsi"/>
        </w:rPr>
        <w:t>Συνεπώς, είναι ιδιαίτερα σημαντική η κατανόηση του πώς η ενέργεια που συσσωρεύεται στο ενεργοποιημένο ενδιάμεσο διασκορπίζεται σε περιβαλλοντικούς βαθμούς ελευθερίας και συγκεκριμένα πώς τέτοιες διαδικασίες σχετίζονται με τον σχηματισμό δομών συντονισμού και με το επαγωγικό φαινόμενο.</w:t>
      </w:r>
    </w:p>
    <w:p w14:paraId="320023E4" w14:textId="1A142F7E" w:rsidR="007425C8" w:rsidRPr="003B2575" w:rsidRDefault="007425C8" w:rsidP="002141CE">
      <w:pPr>
        <w:spacing w:line="240" w:lineRule="auto"/>
        <w:jc w:val="both"/>
        <w:rPr>
          <w:rFonts w:asciiTheme="majorHAnsi" w:hAnsiTheme="majorHAnsi" w:cstheme="majorHAnsi"/>
        </w:rPr>
      </w:pPr>
      <w:r>
        <w:rPr>
          <w:rFonts w:asciiTheme="majorHAnsi" w:hAnsiTheme="majorHAnsi" w:cstheme="majorHAnsi"/>
        </w:rPr>
        <w:t xml:space="preserve">Για την κατανόηση των μηχανισμών χαλάρωσης των διυποκατεστημένων αρωματικών ενώσεων οι ερευνητές επέλεξαν τις κυανοφαινόλες. Οι </w:t>
      </w:r>
      <w:r>
        <w:rPr>
          <w:rFonts w:asciiTheme="majorHAnsi" w:hAnsiTheme="majorHAnsi" w:cstheme="majorHAnsi"/>
          <w:lang w:val="en-US"/>
        </w:rPr>
        <w:t>n</w:t>
      </w:r>
      <w:r w:rsidRPr="007425C8">
        <w:rPr>
          <w:rFonts w:asciiTheme="majorHAnsi" w:hAnsiTheme="majorHAnsi" w:cstheme="majorHAnsi"/>
        </w:rPr>
        <w:t>-</w:t>
      </w:r>
      <w:r>
        <w:rPr>
          <w:rFonts w:asciiTheme="majorHAnsi" w:hAnsiTheme="majorHAnsi" w:cstheme="majorHAnsi"/>
        </w:rPr>
        <w:t xml:space="preserve">κυανοφαινόλες θα συμβολίζονται με </w:t>
      </w:r>
      <w:r>
        <w:rPr>
          <w:rFonts w:asciiTheme="majorHAnsi" w:hAnsiTheme="majorHAnsi" w:cstheme="majorHAnsi"/>
          <w:lang w:val="en-US"/>
        </w:rPr>
        <w:t>nCP</w:t>
      </w:r>
      <w:r w:rsidRPr="007425C8">
        <w:rPr>
          <w:rFonts w:asciiTheme="majorHAnsi" w:hAnsiTheme="majorHAnsi" w:cstheme="majorHAnsi"/>
        </w:rPr>
        <w:t xml:space="preserve"> </w:t>
      </w:r>
      <w:r>
        <w:rPr>
          <w:rFonts w:asciiTheme="majorHAnsi" w:hAnsiTheme="majorHAnsi" w:cstheme="majorHAnsi"/>
        </w:rPr>
        <w:t xml:space="preserve">και τα ιόντα </w:t>
      </w:r>
      <w:r w:rsidR="003B2575">
        <w:rPr>
          <w:rFonts w:asciiTheme="majorHAnsi" w:hAnsiTheme="majorHAnsi" w:cstheme="majorHAnsi"/>
          <w:lang w:val="en-US"/>
        </w:rPr>
        <w:t>n</w:t>
      </w:r>
      <w:r w:rsidR="003B2575" w:rsidRPr="003B2575">
        <w:rPr>
          <w:rFonts w:asciiTheme="majorHAnsi" w:hAnsiTheme="majorHAnsi" w:cstheme="majorHAnsi"/>
        </w:rPr>
        <w:t>-</w:t>
      </w:r>
      <w:r>
        <w:rPr>
          <w:rFonts w:asciiTheme="majorHAnsi" w:hAnsiTheme="majorHAnsi" w:cstheme="majorHAnsi"/>
        </w:rPr>
        <w:t xml:space="preserve">κυανοφαινοξειδίου με </w:t>
      </w:r>
      <w:r>
        <w:rPr>
          <w:rFonts w:asciiTheme="majorHAnsi" w:hAnsiTheme="majorHAnsi" w:cstheme="majorHAnsi"/>
          <w:lang w:val="en-US"/>
        </w:rPr>
        <w:t>nCX</w:t>
      </w:r>
      <w:r w:rsidRPr="007425C8">
        <w:rPr>
          <w:rFonts w:asciiTheme="majorHAnsi" w:hAnsiTheme="majorHAnsi" w:cstheme="majorHAnsi"/>
        </w:rPr>
        <w:t xml:space="preserve">, </w:t>
      </w:r>
      <w:r>
        <w:rPr>
          <w:rFonts w:asciiTheme="majorHAnsi" w:hAnsiTheme="majorHAnsi" w:cstheme="majorHAnsi"/>
        </w:rPr>
        <w:t xml:space="preserve">όπου το </w:t>
      </w:r>
      <w:r>
        <w:rPr>
          <w:rFonts w:asciiTheme="majorHAnsi" w:hAnsiTheme="majorHAnsi" w:cstheme="majorHAnsi"/>
          <w:lang w:val="en-US"/>
        </w:rPr>
        <w:t>n</w:t>
      </w:r>
      <w:r w:rsidRPr="007425C8">
        <w:rPr>
          <w:rFonts w:asciiTheme="majorHAnsi" w:hAnsiTheme="majorHAnsi" w:cstheme="majorHAnsi"/>
        </w:rPr>
        <w:t xml:space="preserve"> </w:t>
      </w:r>
      <w:r>
        <w:rPr>
          <w:rFonts w:asciiTheme="majorHAnsi" w:hAnsiTheme="majorHAnsi" w:cstheme="majorHAnsi"/>
        </w:rPr>
        <w:t>δίνει τις σχετικές θέσεις υποκατάστασης</w:t>
      </w:r>
      <w:r w:rsidRPr="007425C8">
        <w:rPr>
          <w:rFonts w:asciiTheme="majorHAnsi" w:hAnsiTheme="majorHAnsi" w:cstheme="majorHAnsi"/>
        </w:rPr>
        <w:t xml:space="preserve"> (</w:t>
      </w:r>
      <w:r>
        <w:rPr>
          <w:rFonts w:asciiTheme="majorHAnsi" w:hAnsiTheme="majorHAnsi" w:cstheme="majorHAnsi"/>
          <w:lang w:val="en-US"/>
        </w:rPr>
        <w:t>n</w:t>
      </w:r>
      <w:r w:rsidRPr="007425C8">
        <w:rPr>
          <w:rFonts w:asciiTheme="majorHAnsi" w:hAnsiTheme="majorHAnsi" w:cstheme="majorHAnsi"/>
        </w:rPr>
        <w:t xml:space="preserve">=2 </w:t>
      </w:r>
      <w:r>
        <w:rPr>
          <w:rFonts w:asciiTheme="majorHAnsi" w:hAnsiTheme="majorHAnsi" w:cstheme="majorHAnsi"/>
        </w:rPr>
        <w:t xml:space="preserve">για 1,2-υποκατάσταση –όρθο-, </w:t>
      </w:r>
      <w:r>
        <w:rPr>
          <w:rFonts w:asciiTheme="majorHAnsi" w:hAnsiTheme="majorHAnsi" w:cstheme="majorHAnsi"/>
          <w:lang w:val="en-US"/>
        </w:rPr>
        <w:t>n</w:t>
      </w:r>
      <w:r w:rsidRPr="007425C8">
        <w:rPr>
          <w:rFonts w:asciiTheme="majorHAnsi" w:hAnsiTheme="majorHAnsi" w:cstheme="majorHAnsi"/>
        </w:rPr>
        <w:t xml:space="preserve">=3 </w:t>
      </w:r>
      <w:r>
        <w:rPr>
          <w:rFonts w:asciiTheme="majorHAnsi" w:hAnsiTheme="majorHAnsi" w:cstheme="majorHAnsi"/>
        </w:rPr>
        <w:t xml:space="preserve">για 1,3 υποκατάσταση -μέτα-, </w:t>
      </w:r>
      <w:r>
        <w:rPr>
          <w:rFonts w:asciiTheme="majorHAnsi" w:hAnsiTheme="majorHAnsi" w:cstheme="majorHAnsi"/>
          <w:lang w:val="en-US"/>
        </w:rPr>
        <w:t>n</w:t>
      </w:r>
      <w:r w:rsidRPr="007425C8">
        <w:rPr>
          <w:rFonts w:asciiTheme="majorHAnsi" w:hAnsiTheme="majorHAnsi" w:cstheme="majorHAnsi"/>
        </w:rPr>
        <w:t xml:space="preserve">=4 </w:t>
      </w:r>
      <w:r>
        <w:rPr>
          <w:rFonts w:asciiTheme="majorHAnsi" w:hAnsiTheme="majorHAnsi" w:cstheme="majorHAnsi"/>
        </w:rPr>
        <w:t>για 1,4 υποκατάσταση -πάρα-)</w:t>
      </w:r>
      <w:r w:rsidR="003B2575" w:rsidRPr="003B2575">
        <w:rPr>
          <w:rFonts w:asciiTheme="majorHAnsi" w:hAnsiTheme="majorHAnsi" w:cstheme="majorHAnsi"/>
        </w:rPr>
        <w:t>.</w:t>
      </w:r>
    </w:p>
    <w:p w14:paraId="136EA388" w14:textId="69D6561E" w:rsidR="003B2575" w:rsidRDefault="002C2555" w:rsidP="002141CE">
      <w:pPr>
        <w:spacing w:line="240" w:lineRule="auto"/>
        <w:jc w:val="both"/>
        <w:rPr>
          <w:rFonts w:asciiTheme="majorHAnsi" w:hAnsiTheme="majorHAnsi" w:cstheme="majorHAnsi"/>
        </w:rPr>
      </w:pPr>
      <w:r>
        <w:rPr>
          <w:noProof/>
        </w:rPr>
        <mc:AlternateContent>
          <mc:Choice Requires="wps">
            <w:drawing>
              <wp:anchor distT="0" distB="0" distL="114300" distR="114300" simplePos="0" relativeHeight="251660288" behindDoc="0" locked="0" layoutInCell="1" allowOverlap="1" wp14:anchorId="568C0CCB" wp14:editId="0191AA3E">
                <wp:simplePos x="0" y="0"/>
                <wp:positionH relativeFrom="column">
                  <wp:posOffset>-2540</wp:posOffset>
                </wp:positionH>
                <wp:positionV relativeFrom="paragraph">
                  <wp:posOffset>4223385</wp:posOffset>
                </wp:positionV>
                <wp:extent cx="5274310" cy="635"/>
                <wp:effectExtent l="0" t="0" r="0" b="0"/>
                <wp:wrapSquare wrapText="bothSides"/>
                <wp:docPr id="4" name="Πλαίσιο κειμένου 4"/>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14:paraId="3096918D" w14:textId="3B21B2F1" w:rsidR="002C2555" w:rsidRPr="00C95EEE" w:rsidRDefault="002C2555" w:rsidP="002C2555">
                            <w:pPr>
                              <w:pStyle w:val="a3"/>
                              <w:rPr>
                                <w:rFonts w:asciiTheme="majorHAnsi" w:hAnsiTheme="majorHAnsi" w:cstheme="majorHAnsi"/>
                                <w:noProof/>
                              </w:rPr>
                            </w:pPr>
                            <w:r>
                              <w:t xml:space="preserve">Εικόνα </w:t>
                            </w:r>
                            <w:fldSimple w:instr=" SEQ Εικόνα \* ARABIC ">
                              <w:r w:rsidR="00F71E01">
                                <w:rPr>
                                  <w:noProof/>
                                </w:rPr>
                                <w:t>1</w:t>
                              </w:r>
                            </w:fldSimple>
                            <w:r>
                              <w:t xml:space="preserve">: Μοριακές Δομές </w:t>
                            </w:r>
                            <w:r>
                              <w:rPr>
                                <w:lang w:val="en-US"/>
                              </w:rPr>
                              <w:t>n</w:t>
                            </w:r>
                            <w:r w:rsidRPr="002C2555">
                              <w:t>-</w:t>
                            </w:r>
                            <w:r>
                              <w:t>κυανοφαινολών. Δεξιά φαίνονται τα ιόντα φαινοξειδίου με τις αντίστοιχες δομές συντονισμού τους.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68C0CCB" id="_x0000_t202" coordsize="21600,21600" o:spt="202" path="m,l,21600r21600,l21600,xe">
                <v:stroke joinstyle="miter"/>
                <v:path gradientshapeok="t" o:connecttype="rect"/>
              </v:shapetype>
              <v:shape id="Πλαίσιο κειμένου 4" o:spid="_x0000_s1026" type="#_x0000_t202" style="position:absolute;left:0;text-align:left;margin-left:-.2pt;margin-top:332.55pt;width:415.3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" stroked="f">
                <v:textbox style="mso-fit-shape-to-text:t" inset="0,0,0,0">
                  <w:txbxContent>
                    <w:p w14:paraId="3096918D" w14:textId="3B21B2F1" w:rsidR="002C2555" w:rsidRPr="00C95EEE" w:rsidRDefault="002C2555" w:rsidP="002C2555">
                      <w:pPr>
                        <w:pStyle w:val="a3"/>
                        <w:rPr>
                          <w:rFonts w:asciiTheme="majorHAnsi" w:hAnsiTheme="majorHAnsi" w:cstheme="majorHAnsi"/>
                          <w:noProof/>
                        </w:rPr>
                      </w:pPr>
                      <w:r>
                        <w:t xml:space="preserve">Εικόνα </w:t>
                      </w:r>
                      <w:fldSimple w:instr=" SEQ Εικόνα \* ARABIC ">
                        <w:r w:rsidR="00F71E01">
                          <w:rPr>
                            <w:noProof/>
                          </w:rPr>
                          <w:t>1</w:t>
                        </w:r>
                      </w:fldSimple>
                      <w:r>
                        <w:t xml:space="preserve">: Μοριακές Δομές </w:t>
                      </w:r>
                      <w:r>
                        <w:rPr>
                          <w:lang w:val="en-US"/>
                        </w:rPr>
                        <w:t>n</w:t>
                      </w:r>
                      <w:r w:rsidRPr="002C2555">
                        <w:t>-</w:t>
                      </w:r>
                      <w:r>
                        <w:t>κυανοφαινολών. Δεξιά φαίνονται τα ιόντα φαινοξειδίου με τις αντίστοιχες δομές συντονισμού τους.</w:t>
                      </w:r>
                    </w:p>
                  </w:txbxContent>
                </v:textbox>
                <w10:wrap type="square"/>
              </v:shape>
            </w:pict>
          </mc:Fallback>
        </mc:AlternateContent>
      </w:r>
      <w:r>
        <w:rPr>
          <w:rFonts w:asciiTheme="majorHAnsi" w:hAnsiTheme="majorHAnsi" w:cstheme="majorHAnsi"/>
          <w:noProof/>
        </w:rPr>
        <w:drawing>
          <wp:anchor distT="0" distB="0" distL="114300" distR="114300" simplePos="0" relativeHeight="251658240" behindDoc="0" locked="0" layoutInCell="1" allowOverlap="1" wp14:anchorId="405950D1" wp14:editId="38AE2499">
            <wp:simplePos x="0" y="0"/>
            <wp:positionH relativeFrom="margin">
              <wp:align>right</wp:align>
            </wp:positionH>
            <wp:positionV relativeFrom="paragraph">
              <wp:posOffset>1086485</wp:posOffset>
            </wp:positionV>
            <wp:extent cx="5274310" cy="3079750"/>
            <wp:effectExtent l="0" t="0" r="2540" b="635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7">
                      <a:extLst>
                        <a:ext uri="{28A0092B-C50C-407E-A947-70E740481C1C}">
                          <a14:useLocalDpi xmlns:a14="http://schemas.microsoft.com/office/drawing/2010/main" val="0"/>
                        </a:ext>
                      </a:extLst>
                    </a:blip>
                    <a:stretch>
                      <a:fillRect/>
                    </a:stretch>
                  </pic:blipFill>
                  <pic:spPr>
                    <a:xfrm>
                      <a:off x="0" y="0"/>
                      <a:ext cx="5274310" cy="3079750"/>
                    </a:xfrm>
                    <a:prstGeom prst="rect">
                      <a:avLst/>
                    </a:prstGeom>
                  </pic:spPr>
                </pic:pic>
              </a:graphicData>
            </a:graphic>
          </wp:anchor>
        </w:drawing>
      </w:r>
      <w:r w:rsidR="003B2575">
        <w:rPr>
          <w:rFonts w:asciiTheme="majorHAnsi" w:hAnsiTheme="majorHAnsi" w:cstheme="majorHAnsi"/>
        </w:rPr>
        <w:t xml:space="preserve">Στις κυανοφαινόλες </w:t>
      </w:r>
      <w:r>
        <w:rPr>
          <w:rFonts w:asciiTheme="majorHAnsi" w:hAnsiTheme="majorHAnsi" w:cstheme="majorHAnsi"/>
        </w:rPr>
        <w:t xml:space="preserve">η ομάδα νιτριλίου λειτουργεί ως δέκτης ηλεκτρονίων και η ομάδα του υδροξυλίου ως ασθενής δότης. Αν κάποιο μόριο κυανοφαινόλης μετατραπεί στο αντίστοιχο ανιόν του λόγω υψηλού </w:t>
      </w:r>
      <w:r>
        <w:rPr>
          <w:rFonts w:asciiTheme="majorHAnsi" w:hAnsiTheme="majorHAnsi" w:cstheme="majorHAnsi"/>
          <w:lang w:val="en-US"/>
        </w:rPr>
        <w:t>pH</w:t>
      </w:r>
      <w:r w:rsidRPr="002C2555">
        <w:rPr>
          <w:rFonts w:asciiTheme="majorHAnsi" w:hAnsiTheme="majorHAnsi" w:cstheme="majorHAnsi"/>
        </w:rPr>
        <w:t xml:space="preserve">, </w:t>
      </w:r>
      <w:r>
        <w:rPr>
          <w:rFonts w:asciiTheme="majorHAnsi" w:hAnsiTheme="majorHAnsi" w:cstheme="majorHAnsi"/>
        </w:rPr>
        <w:t xml:space="preserve">το οξυγόνο του φαινοξειδίου γίνεται ισχυρός δότης ηλεκτρονίων, και έτσι τα </w:t>
      </w:r>
      <w:r w:rsidRPr="002C2555">
        <w:rPr>
          <w:rFonts w:asciiTheme="majorHAnsi" w:hAnsiTheme="majorHAnsi" w:cstheme="majorHAnsi"/>
        </w:rPr>
        <w:t>2</w:t>
      </w:r>
      <w:r>
        <w:rPr>
          <w:rFonts w:asciiTheme="majorHAnsi" w:hAnsiTheme="majorHAnsi" w:cstheme="majorHAnsi"/>
          <w:lang w:val="en-US"/>
        </w:rPr>
        <w:t>CX</w:t>
      </w:r>
      <w:r w:rsidRPr="002C2555">
        <w:rPr>
          <w:rFonts w:asciiTheme="majorHAnsi" w:hAnsiTheme="majorHAnsi" w:cstheme="majorHAnsi"/>
        </w:rPr>
        <w:t xml:space="preserve"> </w:t>
      </w:r>
      <w:r>
        <w:rPr>
          <w:rFonts w:asciiTheme="majorHAnsi" w:hAnsiTheme="majorHAnsi" w:cstheme="majorHAnsi"/>
        </w:rPr>
        <w:t>και 4</w:t>
      </w:r>
      <w:r>
        <w:rPr>
          <w:rFonts w:asciiTheme="majorHAnsi" w:hAnsiTheme="majorHAnsi" w:cstheme="majorHAnsi"/>
          <w:lang w:val="en-US"/>
        </w:rPr>
        <w:t>C</w:t>
      </w:r>
      <w:r>
        <w:rPr>
          <w:rFonts w:asciiTheme="majorHAnsi" w:hAnsiTheme="majorHAnsi" w:cstheme="majorHAnsi"/>
        </w:rPr>
        <w:t>Χ</w:t>
      </w:r>
      <w:r w:rsidRPr="002C2555">
        <w:rPr>
          <w:rFonts w:asciiTheme="majorHAnsi" w:hAnsiTheme="majorHAnsi" w:cstheme="majorHAnsi"/>
        </w:rPr>
        <w:t xml:space="preserve"> </w:t>
      </w:r>
      <w:r>
        <w:rPr>
          <w:rFonts w:asciiTheme="majorHAnsi" w:hAnsiTheme="majorHAnsi" w:cstheme="majorHAnsi"/>
        </w:rPr>
        <w:t>ισομερή σταθεροποιούνται μέσω δομών συντονισμού. (Εικόνα 1)</w:t>
      </w:r>
      <w:r w:rsidRPr="002C2555">
        <w:rPr>
          <w:rFonts w:asciiTheme="majorHAnsi" w:hAnsiTheme="majorHAnsi" w:cstheme="majorHAnsi"/>
          <w:noProof/>
        </w:rPr>
        <w:t xml:space="preserve"> </w:t>
      </w:r>
    </w:p>
    <w:p w14:paraId="6DE58C0A" w14:textId="491ED24E" w:rsidR="00C1373E" w:rsidRPr="00C1373E" w:rsidRDefault="00C1373E" w:rsidP="00C1373E">
      <w:pPr>
        <w:rPr>
          <w:rFonts w:asciiTheme="majorHAnsi" w:hAnsiTheme="majorHAnsi" w:cstheme="majorHAnsi"/>
        </w:rPr>
      </w:pPr>
    </w:p>
    <w:p w14:paraId="29A27F84" w14:textId="562AE8A8" w:rsidR="00C1373E" w:rsidRDefault="00275F47" w:rsidP="00DE5F71">
      <w:pPr>
        <w:jc w:val="both"/>
        <w:rPr>
          <w:rFonts w:asciiTheme="majorHAnsi" w:hAnsiTheme="majorHAnsi" w:cstheme="majorHAnsi"/>
        </w:rPr>
      </w:pPr>
      <w:r>
        <w:rPr>
          <w:rFonts w:asciiTheme="majorHAnsi" w:hAnsiTheme="majorHAnsi" w:cstheme="majorHAnsi"/>
        </w:rPr>
        <w:t>Για τη μελέτη των παραπάνω έξι δομών, χρησιμοποιήθηκε η τεχνική «</w:t>
      </w:r>
      <w:r>
        <w:rPr>
          <w:rFonts w:asciiTheme="majorHAnsi" w:hAnsiTheme="majorHAnsi" w:cstheme="majorHAnsi"/>
          <w:lang w:val="en-US"/>
        </w:rPr>
        <w:t>Transient</w:t>
      </w:r>
      <w:r w:rsidRPr="00275F47">
        <w:rPr>
          <w:rFonts w:asciiTheme="majorHAnsi" w:hAnsiTheme="majorHAnsi" w:cstheme="majorHAnsi"/>
        </w:rPr>
        <w:t xml:space="preserve"> </w:t>
      </w:r>
      <w:r>
        <w:rPr>
          <w:rFonts w:asciiTheme="majorHAnsi" w:hAnsiTheme="majorHAnsi" w:cstheme="majorHAnsi"/>
          <w:lang w:val="en-US"/>
        </w:rPr>
        <w:t>Infrared</w:t>
      </w:r>
      <w:r w:rsidRPr="00275F47">
        <w:rPr>
          <w:rFonts w:asciiTheme="majorHAnsi" w:hAnsiTheme="majorHAnsi" w:cstheme="majorHAnsi"/>
        </w:rPr>
        <w:t xml:space="preserve"> </w:t>
      </w:r>
      <w:r>
        <w:rPr>
          <w:rFonts w:asciiTheme="majorHAnsi" w:hAnsiTheme="majorHAnsi" w:cstheme="majorHAnsi"/>
          <w:lang w:val="en-US"/>
        </w:rPr>
        <w:t>Pump</w:t>
      </w:r>
      <w:r w:rsidRPr="00275F47">
        <w:rPr>
          <w:rFonts w:asciiTheme="majorHAnsi" w:hAnsiTheme="majorHAnsi" w:cstheme="majorHAnsi"/>
        </w:rPr>
        <w:t>-</w:t>
      </w:r>
      <w:r>
        <w:rPr>
          <w:rFonts w:asciiTheme="majorHAnsi" w:hAnsiTheme="majorHAnsi" w:cstheme="majorHAnsi"/>
          <w:lang w:val="en-US"/>
        </w:rPr>
        <w:t>Probe</w:t>
      </w:r>
      <w:r w:rsidRPr="00275F47">
        <w:rPr>
          <w:rFonts w:asciiTheme="majorHAnsi" w:hAnsiTheme="majorHAnsi" w:cstheme="majorHAnsi"/>
        </w:rPr>
        <w:t xml:space="preserve"> </w:t>
      </w:r>
      <w:r>
        <w:rPr>
          <w:rFonts w:asciiTheme="majorHAnsi" w:hAnsiTheme="majorHAnsi" w:cstheme="majorHAnsi"/>
          <w:lang w:val="en-US"/>
        </w:rPr>
        <w:t>Spectroscopy</w:t>
      </w:r>
      <w:r>
        <w:rPr>
          <w:rFonts w:asciiTheme="majorHAnsi" w:hAnsiTheme="majorHAnsi" w:cstheme="majorHAnsi"/>
        </w:rPr>
        <w:t>»</w:t>
      </w:r>
      <w:r w:rsidRPr="00275F47">
        <w:rPr>
          <w:rFonts w:asciiTheme="majorHAnsi" w:hAnsiTheme="majorHAnsi" w:cstheme="majorHAnsi"/>
        </w:rPr>
        <w:t xml:space="preserve">, </w:t>
      </w:r>
      <w:r>
        <w:rPr>
          <w:rFonts w:asciiTheme="majorHAnsi" w:hAnsiTheme="majorHAnsi" w:cstheme="majorHAnsi"/>
        </w:rPr>
        <w:t xml:space="preserve">με </w:t>
      </w:r>
      <w:r w:rsidR="00D72D11">
        <w:rPr>
          <w:rFonts w:asciiTheme="majorHAnsi" w:hAnsiTheme="majorHAnsi" w:cstheme="majorHAnsi"/>
        </w:rPr>
        <w:t xml:space="preserve">έμφαση να δίνεται στις δονήσεις κάμψης της ομάδας του νιτριλίου. </w:t>
      </w:r>
    </w:p>
    <w:p w14:paraId="472C46B4" w14:textId="1CF52E35" w:rsidR="00827CE3" w:rsidRDefault="00827CE3" w:rsidP="00DE5F71">
      <w:pPr>
        <w:jc w:val="both"/>
        <w:rPr>
          <w:rFonts w:asciiTheme="majorHAnsi" w:eastAsiaTheme="minorEastAsia" w:hAnsiTheme="majorHAnsi" w:cstheme="majorHAnsi"/>
        </w:rPr>
      </w:pPr>
      <w:r>
        <w:rPr>
          <w:rFonts w:asciiTheme="majorHAnsi" w:hAnsiTheme="majorHAnsi" w:cstheme="majorHAnsi"/>
        </w:rPr>
        <w:t xml:space="preserve">Ένα τυπικό φάσμα </w:t>
      </w:r>
      <w:r w:rsidR="003F5F8E">
        <w:rPr>
          <w:rFonts w:asciiTheme="majorHAnsi" w:hAnsiTheme="majorHAnsi" w:cstheme="majorHAnsi"/>
          <w:lang w:val="en-US"/>
        </w:rPr>
        <w:t>pump</w:t>
      </w:r>
      <w:r w:rsidR="003F5F8E" w:rsidRPr="003F5F8E">
        <w:rPr>
          <w:rFonts w:asciiTheme="majorHAnsi" w:hAnsiTheme="majorHAnsi" w:cstheme="majorHAnsi"/>
        </w:rPr>
        <w:t>-</w:t>
      </w:r>
      <w:r w:rsidR="003F5F8E">
        <w:rPr>
          <w:rFonts w:asciiTheme="majorHAnsi" w:hAnsiTheme="majorHAnsi" w:cstheme="majorHAnsi"/>
          <w:lang w:val="en-US"/>
        </w:rPr>
        <w:t>probe</w:t>
      </w:r>
      <w:r w:rsidR="003F5F8E" w:rsidRPr="003F5F8E">
        <w:rPr>
          <w:rFonts w:asciiTheme="majorHAnsi" w:hAnsiTheme="majorHAnsi" w:cstheme="majorHAnsi"/>
        </w:rPr>
        <w:t xml:space="preserve"> </w:t>
      </w:r>
      <w:r w:rsidR="003F5F8E">
        <w:rPr>
          <w:rFonts w:asciiTheme="majorHAnsi" w:hAnsiTheme="majorHAnsi" w:cstheme="majorHAnsi"/>
        </w:rPr>
        <w:t xml:space="preserve">αναρμονικού ταλαντωτή δίνει θετικές και αρνητικές κορυφές, οι οποίες αντιστοιχούν  με τις μεταπτώσεις 0-1 και 1-2 αντίστοιχα. </w:t>
      </w:r>
      <w:r w:rsidR="003D2300">
        <w:rPr>
          <w:rFonts w:asciiTheme="majorHAnsi" w:hAnsiTheme="majorHAnsi" w:cstheme="majorHAnsi"/>
        </w:rPr>
        <w:t xml:space="preserve">Η θεμελιώδης κατάσταση </w:t>
      </w:r>
      <w:r w:rsidR="003F5F8E">
        <w:rPr>
          <w:rFonts w:asciiTheme="majorHAnsi" w:hAnsiTheme="majorHAnsi" w:cstheme="majorHAnsi"/>
        </w:rPr>
        <w:t xml:space="preserve">συμβολίζεται με </w:t>
      </w:r>
      <m:oMath>
        <m:d>
          <m:dPr>
            <m:begChr m:val=""/>
            <m:endChr m:val="⟩"/>
            <m:ctrlPr>
              <w:rPr>
                <w:rFonts w:ascii="Cambria Math" w:hAnsi="Cambria Math" w:cstheme="majorHAnsi"/>
                <w:i/>
              </w:rPr>
            </m:ctrlPr>
          </m:dPr>
          <m:e>
            <m:r>
              <w:rPr>
                <w:rFonts w:ascii="Cambria Math" w:hAnsi="Cambria Math" w:cstheme="majorHAnsi"/>
              </w:rPr>
              <m:t>|0</m:t>
            </m:r>
          </m:e>
        </m:d>
      </m:oMath>
      <w:r w:rsidR="003F5F8E">
        <w:rPr>
          <w:rFonts w:asciiTheme="majorHAnsi" w:hAnsiTheme="majorHAnsi" w:cstheme="majorHAnsi"/>
        </w:rPr>
        <w:t xml:space="preserve">, η πρώτη διεγερμένη με </w:t>
      </w:r>
      <m:oMath>
        <m:d>
          <m:dPr>
            <m:begChr m:val=""/>
            <m:endChr m:val="⟩"/>
            <m:ctrlPr>
              <w:rPr>
                <w:rFonts w:ascii="Cambria Math" w:hAnsi="Cambria Math" w:cstheme="majorHAnsi"/>
                <w:i/>
              </w:rPr>
            </m:ctrlPr>
          </m:dPr>
          <m:e>
            <m:r>
              <w:rPr>
                <w:rFonts w:ascii="Cambria Math" w:hAnsi="Cambria Math" w:cstheme="majorHAnsi"/>
              </w:rPr>
              <m:t>|1</m:t>
            </m:r>
          </m:e>
        </m:d>
      </m:oMath>
      <w:r w:rsidR="003F5F8E">
        <w:rPr>
          <w:rFonts w:asciiTheme="majorHAnsi" w:eastAsiaTheme="minorEastAsia" w:hAnsiTheme="majorHAnsi" w:cstheme="majorHAnsi"/>
        </w:rPr>
        <w:t xml:space="preserve"> και η δεύτερη διεγερμένη (υπέρτονη) με </w:t>
      </w:r>
      <m:oMath>
        <m:d>
          <m:dPr>
            <m:begChr m:val=""/>
            <m:endChr m:val="⟩"/>
            <m:ctrlPr>
              <w:rPr>
                <w:rFonts w:ascii="Cambria Math" w:hAnsi="Cambria Math" w:cstheme="majorHAnsi"/>
                <w:i/>
              </w:rPr>
            </m:ctrlPr>
          </m:dPr>
          <m:e>
            <m:r>
              <w:rPr>
                <w:rFonts w:ascii="Cambria Math" w:hAnsi="Cambria Math" w:cstheme="majorHAnsi"/>
              </w:rPr>
              <m:t>|2</m:t>
            </m:r>
          </m:e>
        </m:d>
      </m:oMath>
      <w:r w:rsidR="003F5F8E">
        <w:rPr>
          <w:rFonts w:asciiTheme="majorHAnsi" w:eastAsiaTheme="minorEastAsia" w:hAnsiTheme="majorHAnsi" w:cstheme="majorHAnsi"/>
        </w:rPr>
        <w:t xml:space="preserve">. </w:t>
      </w:r>
      <w:r w:rsidR="003F5F8E">
        <w:rPr>
          <w:rFonts w:asciiTheme="majorHAnsi" w:eastAsiaTheme="minorEastAsia" w:hAnsiTheme="majorHAnsi" w:cstheme="majorHAnsi"/>
        </w:rPr>
        <w:lastRenderedPageBreak/>
        <w:t xml:space="preserve">Η θετική κορυφή προκύπτει από εκπομπές της θεμελιώδους στάθμης </w:t>
      </w:r>
      <w:r w:rsidR="00CD5234">
        <w:rPr>
          <w:rFonts w:asciiTheme="majorHAnsi" w:eastAsiaTheme="minorEastAsia" w:hAnsiTheme="majorHAnsi" w:cstheme="majorHAnsi"/>
        </w:rPr>
        <w:t>και εκπομπές εξαναγκασμένης αποδιέγερσης, ενώ η αρνητική κορυφή προκύπτει από απορρόφηση της διεγερμένης κατάστασης.</w:t>
      </w:r>
    </w:p>
    <w:p w14:paraId="4655BFE1" w14:textId="77777777" w:rsidR="004933BC" w:rsidRPr="00D828BF" w:rsidRDefault="003D2300" w:rsidP="00DE5F71">
      <w:pPr>
        <w:jc w:val="both"/>
        <w:rPr>
          <w:rFonts w:asciiTheme="majorHAnsi" w:eastAsiaTheme="minorEastAsia" w:hAnsiTheme="majorHAnsi" w:cstheme="majorHAnsi"/>
        </w:rPr>
      </w:pPr>
      <w:r>
        <w:rPr>
          <w:rFonts w:asciiTheme="majorHAnsi" w:eastAsiaTheme="minorEastAsia" w:hAnsiTheme="majorHAnsi" w:cstheme="majorHAnsi"/>
        </w:rPr>
        <w:t xml:space="preserve">Η μελέτη αυτή επικεντρώνεται στην πειραματική μέτρηση φασμάτων </w:t>
      </w:r>
      <w:r>
        <w:rPr>
          <w:rFonts w:asciiTheme="majorHAnsi" w:eastAsiaTheme="minorEastAsia" w:hAnsiTheme="majorHAnsi" w:cstheme="majorHAnsi"/>
          <w:lang w:val="en-US"/>
        </w:rPr>
        <w:t>pump</w:t>
      </w:r>
      <w:r w:rsidRPr="003D2300">
        <w:rPr>
          <w:rFonts w:asciiTheme="majorHAnsi" w:eastAsiaTheme="minorEastAsia" w:hAnsiTheme="majorHAnsi" w:cstheme="majorHAnsi"/>
        </w:rPr>
        <w:t>-</w:t>
      </w:r>
      <w:r>
        <w:rPr>
          <w:rFonts w:asciiTheme="majorHAnsi" w:eastAsiaTheme="minorEastAsia" w:hAnsiTheme="majorHAnsi" w:cstheme="majorHAnsi"/>
          <w:lang w:val="en-US"/>
        </w:rPr>
        <w:t>probe</w:t>
      </w:r>
      <w:r w:rsidRPr="003D2300">
        <w:rPr>
          <w:rFonts w:asciiTheme="majorHAnsi" w:eastAsiaTheme="minorEastAsia" w:hAnsiTheme="majorHAnsi" w:cstheme="majorHAnsi"/>
        </w:rPr>
        <w:t xml:space="preserve"> </w:t>
      </w:r>
      <w:r>
        <w:rPr>
          <w:rFonts w:asciiTheme="majorHAnsi" w:eastAsiaTheme="minorEastAsia" w:hAnsiTheme="majorHAnsi" w:cstheme="majorHAnsi"/>
        </w:rPr>
        <w:t xml:space="preserve">των παραπάνω ενώσεων διαλυμένων σε μεθανόλη, σε σχέση με τον χρόνο καθυστέρησης </w:t>
      </w:r>
      <w:r w:rsidR="00AC231F" w:rsidRPr="00AC231F">
        <w:rPr>
          <w:rFonts w:asciiTheme="majorHAnsi" w:eastAsiaTheme="minorEastAsia" w:hAnsiTheme="majorHAnsi" w:cstheme="majorHAnsi"/>
        </w:rPr>
        <w:t>(</w:t>
      </w:r>
      <w:r w:rsidR="00AC231F">
        <w:rPr>
          <w:rFonts w:asciiTheme="majorHAnsi" w:eastAsiaTheme="minorEastAsia" w:hAnsiTheme="majorHAnsi" w:cstheme="majorHAnsi"/>
          <w:lang w:val="en-US"/>
        </w:rPr>
        <w:t>delay</w:t>
      </w:r>
      <w:r w:rsidR="00AC231F" w:rsidRPr="00AC231F">
        <w:rPr>
          <w:rFonts w:asciiTheme="majorHAnsi" w:eastAsiaTheme="minorEastAsia" w:hAnsiTheme="majorHAnsi" w:cstheme="majorHAnsi"/>
        </w:rPr>
        <w:t xml:space="preserve"> </w:t>
      </w:r>
      <w:r w:rsidR="00AC231F">
        <w:rPr>
          <w:rFonts w:asciiTheme="majorHAnsi" w:eastAsiaTheme="minorEastAsia" w:hAnsiTheme="majorHAnsi" w:cstheme="majorHAnsi"/>
          <w:lang w:val="en-US"/>
        </w:rPr>
        <w:t>time</w:t>
      </w:r>
      <w:r w:rsidR="00AC231F" w:rsidRPr="00AC231F">
        <w:rPr>
          <w:rFonts w:asciiTheme="majorHAnsi" w:eastAsiaTheme="minorEastAsia" w:hAnsiTheme="majorHAnsi" w:cstheme="majorHAnsi"/>
        </w:rPr>
        <w:t xml:space="preserve">) </w:t>
      </w:r>
      <w:r>
        <w:rPr>
          <w:rFonts w:asciiTheme="majorHAnsi" w:eastAsiaTheme="minorEastAsia" w:hAnsiTheme="majorHAnsi" w:cstheme="majorHAnsi"/>
        </w:rPr>
        <w:t xml:space="preserve">Τ μεταξύ των παλμών </w:t>
      </w:r>
      <w:r w:rsidR="00AC231F">
        <w:rPr>
          <w:rFonts w:asciiTheme="majorHAnsi" w:eastAsiaTheme="minorEastAsia" w:hAnsiTheme="majorHAnsi" w:cstheme="majorHAnsi"/>
          <w:lang w:val="en-US"/>
        </w:rPr>
        <w:t>pump</w:t>
      </w:r>
      <w:r w:rsidR="00AC231F" w:rsidRPr="00AC231F">
        <w:rPr>
          <w:rFonts w:asciiTheme="majorHAnsi" w:eastAsiaTheme="minorEastAsia" w:hAnsiTheme="majorHAnsi" w:cstheme="majorHAnsi"/>
        </w:rPr>
        <w:t xml:space="preserve"> </w:t>
      </w:r>
      <w:r w:rsidR="00AC231F">
        <w:rPr>
          <w:rFonts w:asciiTheme="majorHAnsi" w:eastAsiaTheme="minorEastAsia" w:hAnsiTheme="majorHAnsi" w:cstheme="majorHAnsi"/>
        </w:rPr>
        <w:t xml:space="preserve">και </w:t>
      </w:r>
      <w:r w:rsidR="00AC231F">
        <w:rPr>
          <w:rFonts w:asciiTheme="majorHAnsi" w:eastAsiaTheme="minorEastAsia" w:hAnsiTheme="majorHAnsi" w:cstheme="majorHAnsi"/>
          <w:lang w:val="en-US"/>
        </w:rPr>
        <w:t>probe</w:t>
      </w:r>
      <w:r w:rsidR="00AC231F" w:rsidRPr="00AC231F">
        <w:rPr>
          <w:rFonts w:asciiTheme="majorHAnsi" w:eastAsiaTheme="minorEastAsia" w:hAnsiTheme="majorHAnsi" w:cstheme="majorHAnsi"/>
        </w:rPr>
        <w:t xml:space="preserve">. </w:t>
      </w:r>
      <w:r w:rsidR="00AC231F">
        <w:rPr>
          <w:rFonts w:asciiTheme="majorHAnsi" w:eastAsiaTheme="minorEastAsia" w:hAnsiTheme="majorHAnsi" w:cstheme="majorHAnsi"/>
          <w:lang w:val="en-US"/>
        </w:rPr>
        <w:t>O</w:t>
      </w:r>
      <w:r w:rsidR="00AC231F" w:rsidRPr="00D828BF">
        <w:rPr>
          <w:rFonts w:asciiTheme="majorHAnsi" w:eastAsiaTheme="minorEastAsia" w:hAnsiTheme="majorHAnsi" w:cstheme="majorHAnsi"/>
        </w:rPr>
        <w:t xml:space="preserve"> </w:t>
      </w:r>
      <w:r w:rsidR="00AC231F">
        <w:rPr>
          <w:rFonts w:asciiTheme="majorHAnsi" w:eastAsiaTheme="minorEastAsia" w:hAnsiTheme="majorHAnsi" w:cstheme="majorHAnsi"/>
        </w:rPr>
        <w:t xml:space="preserve">χρόνος </w:t>
      </w:r>
      <w:r w:rsidR="00AC231F">
        <w:rPr>
          <w:rFonts w:asciiTheme="majorHAnsi" w:eastAsiaTheme="minorEastAsia" w:hAnsiTheme="majorHAnsi" w:cstheme="majorHAnsi"/>
          <w:lang w:val="en-US"/>
        </w:rPr>
        <w:t>T</w:t>
      </w:r>
      <w:r w:rsidR="00AC231F" w:rsidRPr="00D828BF">
        <w:rPr>
          <w:rFonts w:asciiTheme="majorHAnsi" w:eastAsiaTheme="minorEastAsia" w:hAnsiTheme="majorHAnsi" w:cstheme="majorHAnsi"/>
        </w:rPr>
        <w:t xml:space="preserve"> </w:t>
      </w:r>
      <w:r w:rsidR="00AC231F">
        <w:rPr>
          <w:rFonts w:asciiTheme="majorHAnsi" w:eastAsiaTheme="minorEastAsia" w:hAnsiTheme="majorHAnsi" w:cstheme="majorHAnsi"/>
        </w:rPr>
        <w:t xml:space="preserve">ορίζεται μεταξύ 0 και μερικών δεκάδων </w:t>
      </w:r>
      <w:r w:rsidR="00AC231F">
        <w:rPr>
          <w:rFonts w:asciiTheme="majorHAnsi" w:eastAsiaTheme="minorEastAsia" w:hAnsiTheme="majorHAnsi" w:cstheme="majorHAnsi"/>
          <w:lang w:val="en-US"/>
        </w:rPr>
        <w:t>picoseconds</w:t>
      </w:r>
      <w:r w:rsidR="00AC231F" w:rsidRPr="00D828BF">
        <w:rPr>
          <w:rFonts w:asciiTheme="majorHAnsi" w:eastAsiaTheme="minorEastAsia" w:hAnsiTheme="majorHAnsi" w:cstheme="majorHAnsi"/>
        </w:rPr>
        <w:t>.</w:t>
      </w:r>
    </w:p>
    <w:p w14:paraId="04FA6513" w14:textId="04B790DE" w:rsidR="003D2300" w:rsidRPr="004933BC" w:rsidRDefault="004933BC" w:rsidP="00DE5F71">
      <w:pPr>
        <w:jc w:val="both"/>
        <w:rPr>
          <w:rFonts w:asciiTheme="majorHAnsi" w:eastAsiaTheme="minorEastAsia" w:hAnsiTheme="majorHAnsi" w:cstheme="majorHAnsi"/>
        </w:rPr>
      </w:pPr>
      <w:r>
        <w:rPr>
          <w:rFonts w:asciiTheme="majorHAnsi" w:eastAsiaTheme="minorEastAsia" w:hAnsiTheme="majorHAnsi" w:cstheme="majorHAnsi"/>
        </w:rPr>
        <w:t xml:space="preserve">Ένα ενδιαφέρον εύρημα είναι ότι ανάλογα με τις σχετικές θέσεις των δύο χαρακτηριστικών ομάδων στις κυανοφαινόλες, αλλάζει η δυναμική δόνησης στον δεσμό του νιτριλίου. Επίσης, ύστερα από τον ιονισμό τους σε υψηλό </w:t>
      </w:r>
      <w:r>
        <w:rPr>
          <w:rFonts w:asciiTheme="majorHAnsi" w:eastAsiaTheme="minorEastAsia" w:hAnsiTheme="majorHAnsi" w:cstheme="majorHAnsi"/>
          <w:lang w:val="en-US"/>
        </w:rPr>
        <w:t>pH</w:t>
      </w:r>
      <w:r w:rsidRPr="004933BC">
        <w:rPr>
          <w:rFonts w:asciiTheme="majorHAnsi" w:eastAsiaTheme="minorEastAsia" w:hAnsiTheme="majorHAnsi" w:cstheme="majorHAnsi"/>
        </w:rPr>
        <w:t xml:space="preserve">, </w:t>
      </w:r>
      <w:r>
        <w:rPr>
          <w:rFonts w:asciiTheme="majorHAnsi" w:eastAsiaTheme="minorEastAsia" w:hAnsiTheme="majorHAnsi" w:cstheme="majorHAnsi"/>
        </w:rPr>
        <w:t>ο χρόνος ζωής και οι φασματικές γραμμές των μεταβατικών καταστάσεων των κυανοφαινολών έχουν ιδιαίτερα χαρακτηριστικά τα οποία μπορούν να σχετιστούν με τα φαινόμενα συντονισμού.</w:t>
      </w:r>
      <w:r w:rsidR="00AC231F" w:rsidRPr="004933BC">
        <w:rPr>
          <w:rFonts w:asciiTheme="majorHAnsi" w:eastAsiaTheme="minorEastAsia" w:hAnsiTheme="majorHAnsi" w:cstheme="majorHAnsi"/>
        </w:rPr>
        <w:t xml:space="preserve"> </w:t>
      </w:r>
      <w:sdt>
        <w:sdtPr>
          <w:rPr>
            <w:rFonts w:asciiTheme="majorHAnsi" w:eastAsiaTheme="minorEastAsia" w:hAnsiTheme="majorHAnsi" w:cstheme="majorHAnsi"/>
            <w:lang w:val="en-US"/>
          </w:rPr>
          <w:id w:val="-1724120379"/>
          <w:citation/>
        </w:sdtPr>
        <w:sdtEndPr/>
        <w:sdtContent>
          <w:r w:rsidR="009A28F4">
            <w:rPr>
              <w:rFonts w:asciiTheme="majorHAnsi" w:eastAsiaTheme="minorEastAsia" w:hAnsiTheme="majorHAnsi" w:cstheme="majorHAnsi"/>
              <w:lang w:val="en-US"/>
            </w:rPr>
            <w:fldChar w:fldCharType="begin"/>
          </w:r>
          <w:r w:rsidR="009A28F4" w:rsidRPr="004933BC">
            <w:rPr>
              <w:rFonts w:asciiTheme="majorHAnsi" w:eastAsiaTheme="minorEastAsia" w:hAnsiTheme="majorHAnsi" w:cstheme="majorHAnsi"/>
            </w:rPr>
            <w:instrText xml:space="preserve"> </w:instrText>
          </w:r>
          <w:r w:rsidR="009A28F4">
            <w:rPr>
              <w:rFonts w:asciiTheme="majorHAnsi" w:eastAsiaTheme="minorEastAsia" w:hAnsiTheme="majorHAnsi" w:cstheme="majorHAnsi"/>
              <w:lang w:val="en-US"/>
            </w:rPr>
            <w:instrText>CITATION</w:instrText>
          </w:r>
          <w:r w:rsidR="009A28F4" w:rsidRPr="004933BC">
            <w:rPr>
              <w:rFonts w:asciiTheme="majorHAnsi" w:eastAsiaTheme="minorEastAsia" w:hAnsiTheme="majorHAnsi" w:cstheme="majorHAnsi"/>
            </w:rPr>
            <w:instrText xml:space="preserve"> </w:instrText>
          </w:r>
          <w:r w:rsidR="009A28F4">
            <w:rPr>
              <w:rFonts w:asciiTheme="majorHAnsi" w:eastAsiaTheme="minorEastAsia" w:hAnsiTheme="majorHAnsi" w:cstheme="majorHAnsi"/>
              <w:lang w:val="en-US"/>
            </w:rPr>
            <w:instrText>Kyu</w:instrText>
          </w:r>
          <w:r w:rsidR="009A28F4" w:rsidRPr="004933BC">
            <w:rPr>
              <w:rFonts w:asciiTheme="majorHAnsi" w:eastAsiaTheme="minorEastAsia" w:hAnsiTheme="majorHAnsi" w:cstheme="majorHAnsi"/>
            </w:rPr>
            <w:instrText>10 \</w:instrText>
          </w:r>
          <w:r w:rsidR="009A28F4">
            <w:rPr>
              <w:rFonts w:asciiTheme="majorHAnsi" w:eastAsiaTheme="minorEastAsia" w:hAnsiTheme="majorHAnsi" w:cstheme="majorHAnsi"/>
              <w:lang w:val="en-US"/>
            </w:rPr>
            <w:instrText>l</w:instrText>
          </w:r>
          <w:r w:rsidR="009A28F4" w:rsidRPr="004933BC">
            <w:rPr>
              <w:rFonts w:asciiTheme="majorHAnsi" w:eastAsiaTheme="minorEastAsia" w:hAnsiTheme="majorHAnsi" w:cstheme="majorHAnsi"/>
            </w:rPr>
            <w:instrText xml:space="preserve"> 1033 </w:instrText>
          </w:r>
          <w:r w:rsidR="009A28F4">
            <w:rPr>
              <w:rFonts w:asciiTheme="majorHAnsi" w:eastAsiaTheme="minorEastAsia" w:hAnsiTheme="majorHAnsi" w:cstheme="majorHAnsi"/>
              <w:lang w:val="en-US"/>
            </w:rPr>
            <w:fldChar w:fldCharType="separate"/>
          </w:r>
          <w:r w:rsidR="009A28F4" w:rsidRPr="004933BC">
            <w:rPr>
              <w:rFonts w:asciiTheme="majorHAnsi" w:eastAsiaTheme="minorEastAsia" w:hAnsiTheme="majorHAnsi" w:cstheme="majorHAnsi"/>
              <w:noProof/>
            </w:rPr>
            <w:t>[1]</w:t>
          </w:r>
          <w:r w:rsidR="009A28F4">
            <w:rPr>
              <w:rFonts w:asciiTheme="majorHAnsi" w:eastAsiaTheme="minorEastAsia" w:hAnsiTheme="majorHAnsi" w:cstheme="majorHAnsi"/>
              <w:lang w:val="en-US"/>
            </w:rPr>
            <w:fldChar w:fldCharType="end"/>
          </w:r>
        </w:sdtContent>
      </w:sdt>
    </w:p>
    <w:p w14:paraId="2B362A74" w14:textId="366642EB" w:rsidR="00AC231F" w:rsidRPr="004933BC" w:rsidRDefault="00AC231F" w:rsidP="004933BC">
      <w:pPr>
        <w:pStyle w:val="2"/>
        <w:rPr>
          <w:rFonts w:eastAsiaTheme="minorEastAsia"/>
        </w:rPr>
      </w:pPr>
      <w:r>
        <w:rPr>
          <w:rFonts w:eastAsiaTheme="minorEastAsia"/>
          <w:lang w:val="en-US"/>
        </w:rPr>
        <w:t>Ultrafast</w:t>
      </w:r>
      <w:r w:rsidRPr="004933BC">
        <w:rPr>
          <w:rFonts w:eastAsiaTheme="minorEastAsia"/>
        </w:rPr>
        <w:t xml:space="preserve"> </w:t>
      </w:r>
      <w:r>
        <w:rPr>
          <w:rFonts w:eastAsiaTheme="minorEastAsia"/>
          <w:lang w:val="en-US"/>
        </w:rPr>
        <w:t>Vibrational</w:t>
      </w:r>
      <w:r w:rsidRPr="004933BC">
        <w:rPr>
          <w:rFonts w:eastAsiaTheme="minorEastAsia"/>
        </w:rPr>
        <w:t xml:space="preserve"> </w:t>
      </w:r>
      <w:r>
        <w:rPr>
          <w:rFonts w:eastAsiaTheme="minorEastAsia"/>
          <w:lang w:val="en-US"/>
        </w:rPr>
        <w:t>Spectroscopy</w:t>
      </w:r>
    </w:p>
    <w:p w14:paraId="0C21F1F6" w14:textId="0E90019D" w:rsidR="00AC231F" w:rsidRDefault="00AC231F" w:rsidP="00DE5F71">
      <w:pPr>
        <w:jc w:val="both"/>
        <w:rPr>
          <w:rFonts w:asciiTheme="majorHAnsi" w:eastAsiaTheme="minorEastAsia" w:hAnsiTheme="majorHAnsi" w:cstheme="majorHAnsi"/>
        </w:rPr>
      </w:pPr>
      <w:r>
        <w:rPr>
          <w:rFonts w:asciiTheme="majorHAnsi" w:eastAsiaTheme="minorEastAsia" w:hAnsiTheme="majorHAnsi" w:cstheme="majorHAnsi"/>
        </w:rPr>
        <w:t xml:space="preserve">Οι ενέργειες των μοριακών δονήσεων βρίσκονται κατά κύριο λόγο στην περιοχή </w:t>
      </w:r>
      <w:r>
        <w:rPr>
          <w:rFonts w:asciiTheme="majorHAnsi" w:eastAsiaTheme="minorEastAsia" w:hAnsiTheme="majorHAnsi" w:cstheme="majorHAnsi"/>
          <w:lang w:val="en-US"/>
        </w:rPr>
        <w:t>IR</w:t>
      </w:r>
      <w:r>
        <w:rPr>
          <w:rFonts w:asciiTheme="majorHAnsi" w:eastAsiaTheme="minorEastAsia" w:hAnsiTheme="majorHAnsi" w:cstheme="majorHAnsi"/>
        </w:rPr>
        <w:t xml:space="preserve">. Τα χρονικώς ανεξάρτητα φάσματα απορρόφησης στο </w:t>
      </w:r>
      <w:r>
        <w:rPr>
          <w:rFonts w:asciiTheme="majorHAnsi" w:eastAsiaTheme="minorEastAsia" w:hAnsiTheme="majorHAnsi" w:cstheme="majorHAnsi"/>
          <w:lang w:val="en-US"/>
        </w:rPr>
        <w:t>IR</w:t>
      </w:r>
      <w:r w:rsidRPr="00AC231F">
        <w:rPr>
          <w:rFonts w:asciiTheme="majorHAnsi" w:eastAsiaTheme="minorEastAsia" w:hAnsiTheme="majorHAnsi" w:cstheme="majorHAnsi"/>
        </w:rPr>
        <w:t xml:space="preserve"> </w:t>
      </w:r>
      <w:r>
        <w:rPr>
          <w:rFonts w:asciiTheme="majorHAnsi" w:eastAsiaTheme="minorEastAsia" w:hAnsiTheme="majorHAnsi" w:cstheme="majorHAnsi"/>
        </w:rPr>
        <w:t>μπορούν να δώσουν σημαντικές πληροφορίες για τη δομή του υπό μελέτη μορίου. Τα φάσματα δόνησης είναι ευαίσθητα σε μικρές δομικές διαφορές μεταξύ των μορίων.</w:t>
      </w:r>
    </w:p>
    <w:p w14:paraId="459A9051" w14:textId="0046B72D" w:rsidR="007006C7" w:rsidRDefault="007006C7" w:rsidP="00DE5F71">
      <w:pPr>
        <w:jc w:val="both"/>
        <w:rPr>
          <w:rFonts w:asciiTheme="majorHAnsi" w:eastAsiaTheme="minorEastAsia" w:hAnsiTheme="majorHAnsi" w:cstheme="majorHAnsi"/>
        </w:rPr>
      </w:pPr>
      <w:r>
        <w:rPr>
          <w:rFonts w:asciiTheme="majorHAnsi" w:eastAsiaTheme="minorEastAsia" w:hAnsiTheme="majorHAnsi" w:cstheme="majorHAnsi"/>
        </w:rPr>
        <w:t xml:space="preserve">Η ανάπτυξη εξαιρετικά γρήγορων παλμών </w:t>
      </w:r>
      <w:r>
        <w:rPr>
          <w:rFonts w:asciiTheme="majorHAnsi" w:eastAsiaTheme="minorEastAsia" w:hAnsiTheme="majorHAnsi" w:cstheme="majorHAnsi"/>
          <w:lang w:val="en-US"/>
        </w:rPr>
        <w:t>IR</w:t>
      </w:r>
      <w:r w:rsidRPr="007006C7">
        <w:rPr>
          <w:rFonts w:asciiTheme="majorHAnsi" w:eastAsiaTheme="minorEastAsia" w:hAnsiTheme="majorHAnsi" w:cstheme="majorHAnsi"/>
        </w:rPr>
        <w:t xml:space="preserve"> (</w:t>
      </w:r>
      <w:r>
        <w:rPr>
          <w:rFonts w:asciiTheme="majorHAnsi" w:eastAsiaTheme="minorEastAsia" w:hAnsiTheme="majorHAnsi" w:cstheme="majorHAnsi"/>
        </w:rPr>
        <w:t xml:space="preserve">πηγές βασισμένες στο </w:t>
      </w:r>
      <w:r>
        <w:rPr>
          <w:rFonts w:asciiTheme="majorHAnsi" w:eastAsiaTheme="minorEastAsia" w:hAnsiTheme="majorHAnsi" w:cstheme="majorHAnsi"/>
          <w:lang w:val="en-US"/>
        </w:rPr>
        <w:t>laser</w:t>
      </w:r>
      <w:r w:rsidRPr="007006C7">
        <w:rPr>
          <w:rFonts w:asciiTheme="majorHAnsi" w:eastAsiaTheme="minorEastAsia" w:hAnsiTheme="majorHAnsi" w:cstheme="majorHAnsi"/>
        </w:rPr>
        <w:t xml:space="preserve">) </w:t>
      </w:r>
      <w:r>
        <w:rPr>
          <w:rFonts w:asciiTheme="majorHAnsi" w:eastAsiaTheme="minorEastAsia" w:hAnsiTheme="majorHAnsi" w:cstheme="majorHAnsi"/>
        </w:rPr>
        <w:t xml:space="preserve">έχει επεκτείνει τη μελέτη των εξαιρετικά γρήγορων φαινομένων μοριακής δυναμικής </w:t>
      </w:r>
      <w:r w:rsidR="00D04ED9">
        <w:rPr>
          <w:rFonts w:asciiTheme="majorHAnsi" w:eastAsiaTheme="minorEastAsia" w:hAnsiTheme="majorHAnsi" w:cstheme="majorHAnsi"/>
        </w:rPr>
        <w:t xml:space="preserve">στην παρατήρηση των διεργασιών που λαμβάνουν χώρα κατά τη δόνηση των μορίων. Επιπλέον οι φασματοσκοπικές τεχνικές </w:t>
      </w:r>
      <w:r w:rsidR="00D04ED9">
        <w:rPr>
          <w:rFonts w:asciiTheme="majorHAnsi" w:eastAsiaTheme="minorEastAsia" w:hAnsiTheme="majorHAnsi" w:cstheme="majorHAnsi"/>
          <w:lang w:val="en-US"/>
        </w:rPr>
        <w:t>IR</w:t>
      </w:r>
      <w:r w:rsidR="00D04ED9" w:rsidRPr="00D04ED9">
        <w:rPr>
          <w:rFonts w:asciiTheme="majorHAnsi" w:eastAsiaTheme="minorEastAsia" w:hAnsiTheme="majorHAnsi" w:cstheme="majorHAnsi"/>
        </w:rPr>
        <w:t xml:space="preserve"> </w:t>
      </w:r>
      <w:r w:rsidR="00D04ED9">
        <w:rPr>
          <w:rFonts w:asciiTheme="majorHAnsi" w:eastAsiaTheme="minorEastAsia" w:hAnsiTheme="majorHAnsi" w:cstheme="majorHAnsi"/>
        </w:rPr>
        <w:t>έχουν καταστήσει δυνατή τη μελέτη των ενδομοριακών και διαμοριακών αλληλεπιδράσεων και πώς αυτές οι διεργασίες εξελίσσονται σε πολύ μικρές κλίμακες χρόνου.</w:t>
      </w:r>
      <w:sdt>
        <w:sdtPr>
          <w:rPr>
            <w:rFonts w:asciiTheme="majorHAnsi" w:eastAsiaTheme="minorEastAsia" w:hAnsiTheme="majorHAnsi" w:cstheme="majorHAnsi"/>
          </w:rPr>
          <w:id w:val="1768888554"/>
          <w:citation/>
        </w:sdtPr>
        <w:sdtEndPr/>
        <w:sdtContent>
          <w:r w:rsidR="009A28F4">
            <w:rPr>
              <w:rFonts w:asciiTheme="majorHAnsi" w:eastAsiaTheme="minorEastAsia" w:hAnsiTheme="majorHAnsi" w:cstheme="majorHAnsi"/>
            </w:rPr>
            <w:fldChar w:fldCharType="begin"/>
          </w:r>
          <w:r w:rsidR="009A28F4" w:rsidRPr="009A28F4">
            <w:rPr>
              <w:rFonts w:asciiTheme="majorHAnsi" w:eastAsiaTheme="minorEastAsia" w:hAnsiTheme="majorHAnsi" w:cstheme="majorHAnsi"/>
            </w:rPr>
            <w:instrText xml:space="preserve"> </w:instrText>
          </w:r>
          <w:r w:rsidR="009A28F4">
            <w:rPr>
              <w:rFonts w:asciiTheme="majorHAnsi" w:eastAsiaTheme="minorEastAsia" w:hAnsiTheme="majorHAnsi" w:cstheme="majorHAnsi"/>
              <w:lang w:val="en-US"/>
            </w:rPr>
            <w:instrText>CITATION</w:instrText>
          </w:r>
          <w:r w:rsidR="009A28F4" w:rsidRPr="009A28F4">
            <w:rPr>
              <w:rFonts w:asciiTheme="majorHAnsi" w:eastAsiaTheme="minorEastAsia" w:hAnsiTheme="majorHAnsi" w:cstheme="majorHAnsi"/>
            </w:rPr>
            <w:instrText xml:space="preserve"> </w:instrText>
          </w:r>
          <w:r w:rsidR="009A28F4">
            <w:rPr>
              <w:rFonts w:asciiTheme="majorHAnsi" w:eastAsiaTheme="minorEastAsia" w:hAnsiTheme="majorHAnsi" w:cstheme="majorHAnsi"/>
              <w:lang w:val="en-US"/>
            </w:rPr>
            <w:instrText>Mic</w:instrText>
          </w:r>
          <w:r w:rsidR="009A28F4" w:rsidRPr="009A28F4">
            <w:rPr>
              <w:rFonts w:asciiTheme="majorHAnsi" w:eastAsiaTheme="minorEastAsia" w:hAnsiTheme="majorHAnsi" w:cstheme="majorHAnsi"/>
            </w:rPr>
            <w:instrText>13 \</w:instrText>
          </w:r>
          <w:r w:rsidR="009A28F4">
            <w:rPr>
              <w:rFonts w:asciiTheme="majorHAnsi" w:eastAsiaTheme="minorEastAsia" w:hAnsiTheme="majorHAnsi" w:cstheme="majorHAnsi"/>
              <w:lang w:val="en-US"/>
            </w:rPr>
            <w:instrText>l</w:instrText>
          </w:r>
          <w:r w:rsidR="009A28F4" w:rsidRPr="009A28F4">
            <w:rPr>
              <w:rFonts w:asciiTheme="majorHAnsi" w:eastAsiaTheme="minorEastAsia" w:hAnsiTheme="majorHAnsi" w:cstheme="majorHAnsi"/>
            </w:rPr>
            <w:instrText xml:space="preserve"> 1033 </w:instrText>
          </w:r>
          <w:r w:rsidR="009A28F4">
            <w:rPr>
              <w:rFonts w:asciiTheme="majorHAnsi" w:eastAsiaTheme="minorEastAsia" w:hAnsiTheme="majorHAnsi" w:cstheme="majorHAnsi"/>
            </w:rPr>
            <w:fldChar w:fldCharType="separate"/>
          </w:r>
          <w:r w:rsidR="009A28F4" w:rsidRPr="009A28F4">
            <w:rPr>
              <w:rFonts w:asciiTheme="majorHAnsi" w:eastAsiaTheme="minorEastAsia" w:hAnsiTheme="majorHAnsi" w:cstheme="majorHAnsi"/>
              <w:noProof/>
            </w:rPr>
            <w:t xml:space="preserve"> </w:t>
          </w:r>
          <w:r w:rsidR="009A28F4" w:rsidRPr="00D828BF">
            <w:rPr>
              <w:rFonts w:asciiTheme="majorHAnsi" w:eastAsiaTheme="minorEastAsia" w:hAnsiTheme="majorHAnsi" w:cstheme="majorHAnsi"/>
              <w:noProof/>
            </w:rPr>
            <w:t>[2]</w:t>
          </w:r>
          <w:r w:rsidR="009A28F4">
            <w:rPr>
              <w:rFonts w:asciiTheme="majorHAnsi" w:eastAsiaTheme="minorEastAsia" w:hAnsiTheme="majorHAnsi" w:cstheme="majorHAnsi"/>
            </w:rPr>
            <w:fldChar w:fldCharType="end"/>
          </w:r>
        </w:sdtContent>
      </w:sdt>
    </w:p>
    <w:p w14:paraId="33EDD838" w14:textId="2EF1D4E1" w:rsidR="009A28F4" w:rsidRPr="006F45E3" w:rsidRDefault="009A28F4" w:rsidP="004933BC">
      <w:pPr>
        <w:pStyle w:val="2"/>
        <w:rPr>
          <w:rFonts w:eastAsiaTheme="minorEastAsia"/>
        </w:rPr>
      </w:pPr>
      <w:r>
        <w:rPr>
          <w:rFonts w:eastAsiaTheme="minorEastAsia"/>
        </w:rPr>
        <w:t>Φασματοσκοπικ</w:t>
      </w:r>
      <w:r w:rsidR="006F45E3">
        <w:rPr>
          <w:rFonts w:eastAsiaTheme="minorEastAsia"/>
        </w:rPr>
        <w:t>ή</w:t>
      </w:r>
      <w:r>
        <w:rPr>
          <w:rFonts w:eastAsiaTheme="minorEastAsia"/>
        </w:rPr>
        <w:t xml:space="preserve"> Τεχνικ</w:t>
      </w:r>
      <w:r w:rsidR="006F45E3">
        <w:rPr>
          <w:rFonts w:eastAsiaTheme="minorEastAsia"/>
        </w:rPr>
        <w:t>ή</w:t>
      </w:r>
      <w:r>
        <w:rPr>
          <w:rFonts w:eastAsiaTheme="minorEastAsia"/>
        </w:rPr>
        <w:t xml:space="preserve"> </w:t>
      </w:r>
      <w:r>
        <w:rPr>
          <w:rFonts w:eastAsiaTheme="minorEastAsia"/>
          <w:lang w:val="en-US"/>
        </w:rPr>
        <w:t>Pump</w:t>
      </w:r>
      <w:r w:rsidRPr="006F45E3">
        <w:rPr>
          <w:rFonts w:eastAsiaTheme="minorEastAsia"/>
        </w:rPr>
        <w:t>-</w:t>
      </w:r>
      <w:r>
        <w:rPr>
          <w:rFonts w:eastAsiaTheme="minorEastAsia"/>
          <w:lang w:val="en-US"/>
        </w:rPr>
        <w:t>Probe</w:t>
      </w:r>
    </w:p>
    <w:p w14:paraId="7458990C" w14:textId="598CD24D" w:rsidR="009A28F4" w:rsidRDefault="006F45E3" w:rsidP="00DE5F71">
      <w:pPr>
        <w:jc w:val="both"/>
        <w:rPr>
          <w:rFonts w:asciiTheme="majorHAnsi" w:eastAsiaTheme="minorEastAsia" w:hAnsiTheme="majorHAnsi" w:cstheme="majorHAnsi"/>
        </w:rPr>
      </w:pPr>
      <w:r>
        <w:rPr>
          <w:rFonts w:asciiTheme="majorHAnsi" w:eastAsiaTheme="minorEastAsia" w:hAnsiTheme="majorHAnsi" w:cstheme="majorHAnsi"/>
        </w:rPr>
        <w:t>Η απλούστερη πειραματική τεχνική για τη μελέτη των εξαιρετικά γρήγορων φαινομένων ηλεκτρονιακής δυναμικής (</w:t>
      </w:r>
      <w:r>
        <w:rPr>
          <w:rFonts w:asciiTheme="majorHAnsi" w:eastAsiaTheme="minorEastAsia" w:hAnsiTheme="majorHAnsi" w:cstheme="majorHAnsi"/>
          <w:lang w:val="en-US"/>
        </w:rPr>
        <w:t>electronic</w:t>
      </w:r>
      <w:r w:rsidRPr="006F45E3">
        <w:rPr>
          <w:rFonts w:asciiTheme="majorHAnsi" w:eastAsiaTheme="minorEastAsia" w:hAnsiTheme="majorHAnsi" w:cstheme="majorHAnsi"/>
        </w:rPr>
        <w:t xml:space="preserve"> </w:t>
      </w:r>
      <w:r>
        <w:rPr>
          <w:rFonts w:asciiTheme="majorHAnsi" w:eastAsiaTheme="minorEastAsia" w:hAnsiTheme="majorHAnsi" w:cstheme="majorHAnsi"/>
          <w:lang w:val="en-US"/>
        </w:rPr>
        <w:t>dynamics</w:t>
      </w:r>
      <w:r w:rsidRPr="006F45E3">
        <w:rPr>
          <w:rFonts w:asciiTheme="majorHAnsi" w:eastAsiaTheme="minorEastAsia" w:hAnsiTheme="majorHAnsi" w:cstheme="majorHAnsi"/>
        </w:rPr>
        <w:t xml:space="preserve">). </w:t>
      </w:r>
      <w:r>
        <w:rPr>
          <w:rFonts w:asciiTheme="majorHAnsi" w:eastAsiaTheme="minorEastAsia" w:hAnsiTheme="majorHAnsi" w:cstheme="majorHAnsi"/>
        </w:rPr>
        <w:t xml:space="preserve">Σε αυτήν την τεχνική χρησιμοποιείται ένας ισχυρός παλμός </w:t>
      </w:r>
      <w:r>
        <w:rPr>
          <w:rFonts w:asciiTheme="majorHAnsi" w:eastAsiaTheme="minorEastAsia" w:hAnsiTheme="majorHAnsi" w:cstheme="majorHAnsi"/>
          <w:lang w:val="en-US"/>
        </w:rPr>
        <w:t>laser</w:t>
      </w:r>
      <w:r>
        <w:rPr>
          <w:rFonts w:asciiTheme="majorHAnsi" w:eastAsiaTheme="minorEastAsia" w:hAnsiTheme="majorHAnsi" w:cstheme="majorHAnsi"/>
        </w:rPr>
        <w:t xml:space="preserve"> (</w:t>
      </w:r>
      <w:r>
        <w:rPr>
          <w:rFonts w:asciiTheme="majorHAnsi" w:eastAsiaTheme="minorEastAsia" w:hAnsiTheme="majorHAnsi" w:cstheme="majorHAnsi"/>
          <w:lang w:val="en-US"/>
        </w:rPr>
        <w:t>pump</w:t>
      </w:r>
      <w:r w:rsidRPr="006F45E3">
        <w:rPr>
          <w:rFonts w:asciiTheme="majorHAnsi" w:eastAsiaTheme="minorEastAsia" w:hAnsiTheme="majorHAnsi" w:cstheme="majorHAnsi"/>
        </w:rPr>
        <w:t xml:space="preserve">), </w:t>
      </w:r>
      <w:r>
        <w:rPr>
          <w:rFonts w:asciiTheme="majorHAnsi" w:eastAsiaTheme="minorEastAsia" w:hAnsiTheme="majorHAnsi" w:cstheme="majorHAnsi"/>
        </w:rPr>
        <w:t xml:space="preserve">ο οποίος διεγείρει το μόριο, και ένας ασθενέστερος παλμός </w:t>
      </w:r>
      <w:r>
        <w:rPr>
          <w:rFonts w:asciiTheme="majorHAnsi" w:eastAsiaTheme="minorEastAsia" w:hAnsiTheme="majorHAnsi" w:cstheme="majorHAnsi"/>
          <w:lang w:val="en-US"/>
        </w:rPr>
        <w:t>laser</w:t>
      </w:r>
      <w:r>
        <w:rPr>
          <w:rFonts w:asciiTheme="majorHAnsi" w:eastAsiaTheme="minorEastAsia" w:hAnsiTheme="majorHAnsi" w:cstheme="majorHAnsi"/>
        </w:rPr>
        <w:t xml:space="preserve"> (</w:t>
      </w:r>
      <w:r>
        <w:rPr>
          <w:rFonts w:asciiTheme="majorHAnsi" w:eastAsiaTheme="minorEastAsia" w:hAnsiTheme="majorHAnsi" w:cstheme="majorHAnsi"/>
          <w:lang w:val="en-US"/>
        </w:rPr>
        <w:t>probe</w:t>
      </w:r>
      <w:r w:rsidRPr="006F45E3">
        <w:rPr>
          <w:rFonts w:asciiTheme="majorHAnsi" w:eastAsiaTheme="minorEastAsia" w:hAnsiTheme="majorHAnsi" w:cstheme="majorHAnsi"/>
        </w:rPr>
        <w:t xml:space="preserve">) </w:t>
      </w:r>
      <w:r>
        <w:rPr>
          <w:rFonts w:asciiTheme="majorHAnsi" w:eastAsiaTheme="minorEastAsia" w:hAnsiTheme="majorHAnsi" w:cstheme="majorHAnsi"/>
        </w:rPr>
        <w:t xml:space="preserve">ο οποίος χρησιμοποιείται για να παρακολουθήσει τις αλλαγές που προκάλεσε ο πρώτος. </w:t>
      </w:r>
    </w:p>
    <w:p w14:paraId="0A6CCB7D" w14:textId="5D1AE563" w:rsidR="006F45E3" w:rsidRDefault="006F45E3" w:rsidP="00DE5F71">
      <w:pPr>
        <w:jc w:val="both"/>
        <w:rPr>
          <w:rFonts w:asciiTheme="majorHAnsi" w:eastAsiaTheme="minorEastAsia" w:hAnsiTheme="majorHAnsi" w:cstheme="majorHAnsi"/>
        </w:rPr>
      </w:pPr>
      <w:r>
        <w:rPr>
          <w:rFonts w:asciiTheme="majorHAnsi" w:eastAsiaTheme="minorEastAsia" w:hAnsiTheme="majorHAnsi" w:cstheme="majorHAnsi"/>
        </w:rPr>
        <w:t>Η μέτρηση των μεταβολών συναρτήσει του χρόνου καθυστέρησης (</w:t>
      </w:r>
      <w:r>
        <w:rPr>
          <w:rFonts w:asciiTheme="majorHAnsi" w:eastAsiaTheme="minorEastAsia" w:hAnsiTheme="majorHAnsi" w:cstheme="majorHAnsi"/>
          <w:lang w:val="en-US"/>
        </w:rPr>
        <w:t>delay</w:t>
      </w:r>
      <w:r w:rsidRPr="006F45E3">
        <w:rPr>
          <w:rFonts w:asciiTheme="majorHAnsi" w:eastAsiaTheme="minorEastAsia" w:hAnsiTheme="majorHAnsi" w:cstheme="majorHAnsi"/>
        </w:rPr>
        <w:t xml:space="preserve"> </w:t>
      </w:r>
      <w:r>
        <w:rPr>
          <w:rFonts w:asciiTheme="majorHAnsi" w:eastAsiaTheme="minorEastAsia" w:hAnsiTheme="majorHAnsi" w:cstheme="majorHAnsi"/>
          <w:lang w:val="en-US"/>
        </w:rPr>
        <w:t>time</w:t>
      </w:r>
      <w:r w:rsidRPr="006F45E3">
        <w:rPr>
          <w:rFonts w:asciiTheme="majorHAnsi" w:eastAsiaTheme="minorEastAsia" w:hAnsiTheme="majorHAnsi" w:cstheme="majorHAnsi"/>
        </w:rPr>
        <w:t>)</w:t>
      </w:r>
      <w:r>
        <w:rPr>
          <w:rFonts w:asciiTheme="majorHAnsi" w:eastAsiaTheme="minorEastAsia" w:hAnsiTheme="majorHAnsi" w:cstheme="majorHAnsi"/>
        </w:rPr>
        <w:t xml:space="preserve"> μεταξύ </w:t>
      </w:r>
      <w:r>
        <w:rPr>
          <w:rFonts w:asciiTheme="majorHAnsi" w:eastAsiaTheme="minorEastAsia" w:hAnsiTheme="majorHAnsi" w:cstheme="majorHAnsi"/>
          <w:lang w:val="en-US"/>
        </w:rPr>
        <w:t>pump</w:t>
      </w:r>
      <w:r w:rsidRPr="006F45E3">
        <w:rPr>
          <w:rFonts w:asciiTheme="majorHAnsi" w:eastAsiaTheme="minorEastAsia" w:hAnsiTheme="majorHAnsi" w:cstheme="majorHAnsi"/>
        </w:rPr>
        <w:t xml:space="preserve"> </w:t>
      </w:r>
      <w:r>
        <w:rPr>
          <w:rFonts w:asciiTheme="majorHAnsi" w:eastAsiaTheme="minorEastAsia" w:hAnsiTheme="majorHAnsi" w:cstheme="majorHAnsi"/>
        </w:rPr>
        <w:t xml:space="preserve">και </w:t>
      </w:r>
      <w:r>
        <w:rPr>
          <w:rFonts w:asciiTheme="majorHAnsi" w:eastAsiaTheme="minorEastAsia" w:hAnsiTheme="majorHAnsi" w:cstheme="majorHAnsi"/>
          <w:lang w:val="en-US"/>
        </w:rPr>
        <w:t>probe</w:t>
      </w:r>
      <w:r w:rsidRPr="006F45E3">
        <w:rPr>
          <w:rFonts w:asciiTheme="majorHAnsi" w:eastAsiaTheme="minorEastAsia" w:hAnsiTheme="majorHAnsi" w:cstheme="majorHAnsi"/>
        </w:rPr>
        <w:t xml:space="preserve"> </w:t>
      </w:r>
      <w:r>
        <w:rPr>
          <w:rFonts w:asciiTheme="majorHAnsi" w:eastAsiaTheme="minorEastAsia" w:hAnsiTheme="majorHAnsi" w:cstheme="majorHAnsi"/>
        </w:rPr>
        <w:t>δίνει πληροφορίες για τον χρόνο χαλάρωσης των ηλεκτρονιακών καταστάσεων του δείγματος.</w:t>
      </w:r>
      <w:sdt>
        <w:sdtPr>
          <w:rPr>
            <w:rFonts w:asciiTheme="majorHAnsi" w:eastAsiaTheme="minorEastAsia" w:hAnsiTheme="majorHAnsi" w:cstheme="majorHAnsi"/>
          </w:rPr>
          <w:id w:val="1340192679"/>
          <w:citation/>
        </w:sdtPr>
        <w:sdtEndPr/>
        <w:sdtContent>
          <w:r>
            <w:rPr>
              <w:rFonts w:asciiTheme="majorHAnsi" w:eastAsiaTheme="minorEastAsia" w:hAnsiTheme="majorHAnsi" w:cstheme="majorHAnsi"/>
            </w:rPr>
            <w:fldChar w:fldCharType="begin"/>
          </w:r>
          <w:r w:rsidRPr="006F45E3">
            <w:rPr>
              <w:rFonts w:asciiTheme="majorHAnsi" w:eastAsiaTheme="minorEastAsia" w:hAnsiTheme="majorHAnsi" w:cstheme="majorHAnsi"/>
            </w:rPr>
            <w:instrText xml:space="preserve"> </w:instrText>
          </w:r>
          <w:r>
            <w:rPr>
              <w:rFonts w:asciiTheme="majorHAnsi" w:eastAsiaTheme="minorEastAsia" w:hAnsiTheme="majorHAnsi" w:cstheme="majorHAnsi"/>
              <w:lang w:val="en-US"/>
            </w:rPr>
            <w:instrText>CITATION</w:instrText>
          </w:r>
          <w:r w:rsidRPr="006F45E3">
            <w:rPr>
              <w:rFonts w:asciiTheme="majorHAnsi" w:eastAsiaTheme="minorEastAsia" w:hAnsiTheme="majorHAnsi" w:cstheme="majorHAnsi"/>
            </w:rPr>
            <w:instrText xml:space="preserve"> </w:instrText>
          </w:r>
          <w:r>
            <w:rPr>
              <w:rFonts w:asciiTheme="majorHAnsi" w:eastAsiaTheme="minorEastAsia" w:hAnsiTheme="majorHAnsi" w:cstheme="majorHAnsi"/>
              <w:lang w:val="en-US"/>
            </w:rPr>
            <w:instrText>Ged</w:instrText>
          </w:r>
          <w:r w:rsidRPr="006F45E3">
            <w:rPr>
              <w:rFonts w:asciiTheme="majorHAnsi" w:eastAsiaTheme="minorEastAsia" w:hAnsiTheme="majorHAnsi" w:cstheme="majorHAnsi"/>
            </w:rPr>
            <w:instrText xml:space="preserve"> \</w:instrText>
          </w:r>
          <w:r>
            <w:rPr>
              <w:rFonts w:asciiTheme="majorHAnsi" w:eastAsiaTheme="minorEastAsia" w:hAnsiTheme="majorHAnsi" w:cstheme="majorHAnsi"/>
              <w:lang w:val="en-US"/>
            </w:rPr>
            <w:instrText>l</w:instrText>
          </w:r>
          <w:r w:rsidRPr="006F45E3">
            <w:rPr>
              <w:rFonts w:asciiTheme="majorHAnsi" w:eastAsiaTheme="minorEastAsia" w:hAnsiTheme="majorHAnsi" w:cstheme="majorHAnsi"/>
            </w:rPr>
            <w:instrText xml:space="preserve"> 1033 </w:instrText>
          </w:r>
          <w:r>
            <w:rPr>
              <w:rFonts w:asciiTheme="majorHAnsi" w:eastAsiaTheme="minorEastAsia" w:hAnsiTheme="majorHAnsi" w:cstheme="majorHAnsi"/>
            </w:rPr>
            <w:fldChar w:fldCharType="separate"/>
          </w:r>
          <w:r w:rsidRPr="006F45E3">
            <w:rPr>
              <w:rFonts w:asciiTheme="majorHAnsi" w:eastAsiaTheme="minorEastAsia" w:hAnsiTheme="majorHAnsi" w:cstheme="majorHAnsi"/>
              <w:noProof/>
            </w:rPr>
            <w:t xml:space="preserve"> </w:t>
          </w:r>
          <w:r w:rsidRPr="005B71DC">
            <w:rPr>
              <w:rFonts w:asciiTheme="majorHAnsi" w:eastAsiaTheme="minorEastAsia" w:hAnsiTheme="majorHAnsi" w:cstheme="majorHAnsi"/>
              <w:noProof/>
            </w:rPr>
            <w:t>[3]</w:t>
          </w:r>
          <w:r>
            <w:rPr>
              <w:rFonts w:asciiTheme="majorHAnsi" w:eastAsiaTheme="minorEastAsia" w:hAnsiTheme="majorHAnsi" w:cstheme="majorHAnsi"/>
            </w:rPr>
            <w:fldChar w:fldCharType="end"/>
          </w:r>
        </w:sdtContent>
      </w:sdt>
    </w:p>
    <w:p w14:paraId="62CAC1AF" w14:textId="6BDEF149" w:rsidR="006F45E3" w:rsidRPr="005B71DC" w:rsidRDefault="006F45E3" w:rsidP="004933BC">
      <w:pPr>
        <w:pStyle w:val="2"/>
        <w:rPr>
          <w:rFonts w:eastAsiaTheme="minorEastAsia"/>
        </w:rPr>
      </w:pPr>
      <w:r>
        <w:rPr>
          <w:rFonts w:eastAsiaTheme="minorEastAsia"/>
          <w:lang w:val="en-US"/>
        </w:rPr>
        <w:t>Transient</w:t>
      </w:r>
      <w:r w:rsidRPr="005B71DC">
        <w:rPr>
          <w:rFonts w:eastAsiaTheme="minorEastAsia"/>
        </w:rPr>
        <w:t xml:space="preserve"> </w:t>
      </w:r>
      <w:r>
        <w:rPr>
          <w:rFonts w:eastAsiaTheme="minorEastAsia"/>
          <w:lang w:val="en-US"/>
        </w:rPr>
        <w:t>Spectroscopy</w:t>
      </w:r>
    </w:p>
    <w:p w14:paraId="2A5802AA" w14:textId="5555DA7B" w:rsidR="006F45E3" w:rsidRDefault="005B71DC" w:rsidP="00DE5F71">
      <w:pPr>
        <w:jc w:val="both"/>
        <w:rPr>
          <w:rFonts w:asciiTheme="majorHAnsi" w:eastAsiaTheme="minorEastAsia" w:hAnsiTheme="majorHAnsi" w:cstheme="majorHAnsi"/>
        </w:rPr>
      </w:pPr>
      <w:r>
        <w:rPr>
          <w:rFonts w:asciiTheme="majorHAnsi" w:eastAsiaTheme="minorEastAsia" w:hAnsiTheme="majorHAnsi" w:cstheme="majorHAnsi"/>
        </w:rPr>
        <w:t xml:space="preserve">Η φασματοσκοπία των μεταβατικών </w:t>
      </w:r>
      <w:r w:rsidRPr="005B71DC">
        <w:rPr>
          <w:rFonts w:asciiTheme="majorHAnsi" w:eastAsiaTheme="minorEastAsia" w:hAnsiTheme="majorHAnsi" w:cstheme="majorHAnsi"/>
        </w:rPr>
        <w:t>(</w:t>
      </w:r>
      <w:r>
        <w:rPr>
          <w:rFonts w:asciiTheme="majorHAnsi" w:eastAsiaTheme="minorEastAsia" w:hAnsiTheme="majorHAnsi" w:cstheme="majorHAnsi"/>
          <w:lang w:val="en-US"/>
        </w:rPr>
        <w:t>transient</w:t>
      </w:r>
      <w:r w:rsidRPr="005B71DC">
        <w:rPr>
          <w:rFonts w:asciiTheme="majorHAnsi" w:eastAsiaTheme="minorEastAsia" w:hAnsiTheme="majorHAnsi" w:cstheme="majorHAnsi"/>
        </w:rPr>
        <w:t xml:space="preserve">) </w:t>
      </w:r>
      <w:r>
        <w:rPr>
          <w:rFonts w:asciiTheme="majorHAnsi" w:eastAsiaTheme="minorEastAsia" w:hAnsiTheme="majorHAnsi" w:cstheme="majorHAnsi"/>
        </w:rPr>
        <w:t>καταστάσεων μας δίνει τη δυνατότητα να χαρακτηρίσουμε τις ηλεκτρονιακές και δομικές ιδιότητές τους παρόλο που τέτοιες καταστάσεις έχουν εξαιρετικά μικρό χρόνο ζωής.</w:t>
      </w:r>
    </w:p>
    <w:p w14:paraId="59AB93B3" w14:textId="27CA31AC" w:rsidR="005B71DC" w:rsidRDefault="005B71DC" w:rsidP="00DE5F71">
      <w:pPr>
        <w:jc w:val="both"/>
        <w:rPr>
          <w:rFonts w:asciiTheme="majorHAnsi" w:eastAsiaTheme="minorEastAsia" w:hAnsiTheme="majorHAnsi" w:cstheme="majorHAnsi"/>
        </w:rPr>
      </w:pPr>
      <w:r>
        <w:rPr>
          <w:rFonts w:asciiTheme="majorHAnsi" w:eastAsiaTheme="minorEastAsia" w:hAnsiTheme="majorHAnsi" w:cstheme="majorHAnsi"/>
        </w:rPr>
        <w:t>Οι μεταβατικές καταστάσεις προκύπτουν από την απορρόφηση φωτονίων και διαφέρουν από τις θεμελιώδεις καταστάσεις των εκάστοτε μορίων στην κατανομή των ηλεκτρονίων ή/και στη γεωμετρία του πυρήνα.</w:t>
      </w:r>
    </w:p>
    <w:p w14:paraId="1ABFA8BA" w14:textId="2C78A306" w:rsidR="00D04ED9" w:rsidRDefault="005B71DC" w:rsidP="00DE5F71">
      <w:pPr>
        <w:jc w:val="both"/>
        <w:rPr>
          <w:rFonts w:asciiTheme="majorHAnsi" w:eastAsiaTheme="minorEastAsia" w:hAnsiTheme="majorHAnsi" w:cstheme="majorHAnsi"/>
        </w:rPr>
      </w:pPr>
      <w:r>
        <w:rPr>
          <w:rFonts w:asciiTheme="majorHAnsi" w:eastAsiaTheme="minorEastAsia" w:hAnsiTheme="majorHAnsi" w:cstheme="majorHAnsi"/>
        </w:rPr>
        <w:t>Αυτό που μας επιτρέπει η φασματοσκοπία των μεταβατικών καταστάσεων είναι η ακριβής κατανομή φορτίου άρα και να παρακολουθούμε την χρονική εξέλιξη μεταξύ των καταστάσεων ενός μορίου (σε κλίμακες από μ</w:t>
      </w:r>
      <w:r w:rsidRPr="005B71DC">
        <w:rPr>
          <w:rFonts w:asciiTheme="majorHAnsi" w:eastAsiaTheme="minorEastAsia" w:hAnsiTheme="majorHAnsi" w:cstheme="majorHAnsi"/>
        </w:rPr>
        <w:t xml:space="preserve"> </w:t>
      </w:r>
      <w:r>
        <w:rPr>
          <w:rFonts w:asciiTheme="majorHAnsi" w:eastAsiaTheme="minorEastAsia" w:hAnsiTheme="majorHAnsi" w:cstheme="majorHAnsi"/>
          <w:lang w:val="en-US"/>
        </w:rPr>
        <w:t>s</w:t>
      </w:r>
      <w:r w:rsidRPr="005B71DC">
        <w:rPr>
          <w:rFonts w:asciiTheme="majorHAnsi" w:eastAsiaTheme="minorEastAsia" w:hAnsiTheme="majorHAnsi" w:cstheme="majorHAnsi"/>
        </w:rPr>
        <w:t xml:space="preserve"> </w:t>
      </w:r>
      <w:r>
        <w:rPr>
          <w:rFonts w:asciiTheme="majorHAnsi" w:eastAsiaTheme="minorEastAsia" w:hAnsiTheme="majorHAnsi" w:cstheme="majorHAnsi"/>
        </w:rPr>
        <w:t xml:space="preserve">μέχρι </w:t>
      </w:r>
      <w:proofErr w:type="spellStart"/>
      <w:r>
        <w:rPr>
          <w:rFonts w:asciiTheme="majorHAnsi" w:eastAsiaTheme="minorEastAsia" w:hAnsiTheme="majorHAnsi" w:cstheme="majorHAnsi"/>
          <w:lang w:val="en-US"/>
        </w:rPr>
        <w:t>fm</w:t>
      </w:r>
      <w:proofErr w:type="spellEnd"/>
      <w:r w:rsidRPr="005B71DC">
        <w:rPr>
          <w:rFonts w:asciiTheme="majorHAnsi" w:eastAsiaTheme="minorEastAsia" w:hAnsiTheme="majorHAnsi" w:cstheme="majorHAnsi"/>
        </w:rPr>
        <w:t xml:space="preserve"> </w:t>
      </w:r>
      <w:r>
        <w:rPr>
          <w:rFonts w:asciiTheme="majorHAnsi" w:eastAsiaTheme="minorEastAsia" w:hAnsiTheme="majorHAnsi" w:cstheme="majorHAnsi"/>
          <w:lang w:val="en-US"/>
        </w:rPr>
        <w:t>s</w:t>
      </w:r>
      <w:r w:rsidRPr="005B71DC">
        <w:rPr>
          <w:rFonts w:asciiTheme="majorHAnsi" w:eastAsiaTheme="minorEastAsia" w:hAnsiTheme="majorHAnsi" w:cstheme="majorHAnsi"/>
        </w:rPr>
        <w:t>).</w:t>
      </w:r>
      <w:sdt>
        <w:sdtPr>
          <w:rPr>
            <w:rFonts w:asciiTheme="majorHAnsi" w:eastAsiaTheme="minorEastAsia" w:hAnsiTheme="majorHAnsi" w:cstheme="majorHAnsi"/>
          </w:rPr>
          <w:id w:val="1987426714"/>
          <w:citation/>
        </w:sdtPr>
        <w:sdtEndPr/>
        <w:sdtContent>
          <w:r>
            <w:rPr>
              <w:rFonts w:asciiTheme="majorHAnsi" w:eastAsiaTheme="minorEastAsia" w:hAnsiTheme="majorHAnsi" w:cstheme="majorHAnsi"/>
            </w:rPr>
            <w:fldChar w:fldCharType="begin"/>
          </w:r>
          <w:r w:rsidRPr="005B71DC">
            <w:rPr>
              <w:rFonts w:asciiTheme="majorHAnsi" w:eastAsiaTheme="minorEastAsia" w:hAnsiTheme="majorHAnsi" w:cstheme="majorHAnsi"/>
            </w:rPr>
            <w:instrText xml:space="preserve"> </w:instrText>
          </w:r>
          <w:r>
            <w:rPr>
              <w:rFonts w:asciiTheme="majorHAnsi" w:eastAsiaTheme="minorEastAsia" w:hAnsiTheme="majorHAnsi" w:cstheme="majorHAnsi"/>
              <w:lang w:val="en-US"/>
            </w:rPr>
            <w:instrText>CITATION</w:instrText>
          </w:r>
          <w:r w:rsidRPr="005B71DC">
            <w:rPr>
              <w:rFonts w:asciiTheme="majorHAnsi" w:eastAsiaTheme="minorEastAsia" w:hAnsiTheme="majorHAnsi" w:cstheme="majorHAnsi"/>
            </w:rPr>
            <w:instrText xml:space="preserve"> </w:instrText>
          </w:r>
          <w:r>
            <w:rPr>
              <w:rFonts w:asciiTheme="majorHAnsi" w:eastAsiaTheme="minorEastAsia" w:hAnsiTheme="majorHAnsi" w:cstheme="majorHAnsi"/>
              <w:lang w:val="en-US"/>
            </w:rPr>
            <w:instrText>And</w:instrText>
          </w:r>
          <w:r w:rsidRPr="005B71DC">
            <w:rPr>
              <w:rFonts w:asciiTheme="majorHAnsi" w:eastAsiaTheme="minorEastAsia" w:hAnsiTheme="majorHAnsi" w:cstheme="majorHAnsi"/>
            </w:rPr>
            <w:instrText>20 \</w:instrText>
          </w:r>
          <w:r>
            <w:rPr>
              <w:rFonts w:asciiTheme="majorHAnsi" w:eastAsiaTheme="minorEastAsia" w:hAnsiTheme="majorHAnsi" w:cstheme="majorHAnsi"/>
              <w:lang w:val="en-US"/>
            </w:rPr>
            <w:instrText>l</w:instrText>
          </w:r>
          <w:r w:rsidRPr="005B71DC">
            <w:rPr>
              <w:rFonts w:asciiTheme="majorHAnsi" w:eastAsiaTheme="minorEastAsia" w:hAnsiTheme="majorHAnsi" w:cstheme="majorHAnsi"/>
            </w:rPr>
            <w:instrText xml:space="preserve"> 1033 </w:instrText>
          </w:r>
          <w:r>
            <w:rPr>
              <w:rFonts w:asciiTheme="majorHAnsi" w:eastAsiaTheme="minorEastAsia" w:hAnsiTheme="majorHAnsi" w:cstheme="majorHAnsi"/>
            </w:rPr>
            <w:fldChar w:fldCharType="separate"/>
          </w:r>
          <w:r w:rsidRPr="005B71DC">
            <w:rPr>
              <w:rFonts w:asciiTheme="majorHAnsi" w:eastAsiaTheme="minorEastAsia" w:hAnsiTheme="majorHAnsi" w:cstheme="majorHAnsi"/>
              <w:noProof/>
            </w:rPr>
            <w:t xml:space="preserve"> </w:t>
          </w:r>
          <w:r w:rsidRPr="00D828BF">
            <w:rPr>
              <w:rFonts w:asciiTheme="majorHAnsi" w:eastAsiaTheme="minorEastAsia" w:hAnsiTheme="majorHAnsi" w:cstheme="majorHAnsi"/>
              <w:noProof/>
            </w:rPr>
            <w:t>[4]</w:t>
          </w:r>
          <w:r>
            <w:rPr>
              <w:rFonts w:asciiTheme="majorHAnsi" w:eastAsiaTheme="minorEastAsia" w:hAnsiTheme="majorHAnsi" w:cstheme="majorHAnsi"/>
            </w:rPr>
            <w:fldChar w:fldCharType="end"/>
          </w:r>
        </w:sdtContent>
      </w:sdt>
    </w:p>
    <w:p w14:paraId="2B12E2DD" w14:textId="029E2621" w:rsidR="004933BC" w:rsidRDefault="002B2CBF" w:rsidP="002B2CBF">
      <w:pPr>
        <w:pStyle w:val="1"/>
        <w:rPr>
          <w:rFonts w:eastAsiaTheme="minorEastAsia"/>
        </w:rPr>
      </w:pPr>
      <w:r>
        <w:rPr>
          <w:rFonts w:eastAsiaTheme="minorEastAsia"/>
        </w:rPr>
        <w:lastRenderedPageBreak/>
        <w:t>ΠΕΙΡΑΜΑΤΙΚΑ ΑΠΟΤΕΛΕΣΜΑΤΑ</w:t>
      </w:r>
    </w:p>
    <w:p w14:paraId="082960BC" w14:textId="4989A63D" w:rsidR="002B2CBF" w:rsidRPr="00D828BF" w:rsidRDefault="002B2CBF" w:rsidP="002B2CBF">
      <w:pPr>
        <w:pStyle w:val="2"/>
        <w:rPr>
          <w:rFonts w:eastAsiaTheme="minorEastAsia"/>
        </w:rPr>
      </w:pPr>
      <w:r>
        <w:rPr>
          <w:rFonts w:eastAsiaTheme="minorEastAsia"/>
        </w:rPr>
        <w:t xml:space="preserve">Απορρόφηση στο </w:t>
      </w:r>
      <w:r>
        <w:rPr>
          <w:rFonts w:eastAsiaTheme="minorEastAsia"/>
          <w:lang w:val="en-US"/>
        </w:rPr>
        <w:t>IR</w:t>
      </w:r>
    </w:p>
    <w:p w14:paraId="40BB47E1" w14:textId="7E4F596F" w:rsidR="002B2CBF" w:rsidRDefault="00E701E9" w:rsidP="00DE5F71">
      <w:pPr>
        <w:jc w:val="both"/>
        <w:rPr>
          <w:rFonts w:asciiTheme="majorHAnsi" w:eastAsiaTheme="minorEastAsia" w:hAnsiTheme="majorHAnsi" w:cstheme="majorHAnsi"/>
        </w:rPr>
      </w:pPr>
      <w:r>
        <w:rPr>
          <w:rFonts w:asciiTheme="majorHAnsi" w:eastAsiaTheme="minorEastAsia" w:hAnsiTheme="majorHAnsi" w:cstheme="majorHAnsi"/>
          <w:noProof/>
        </w:rPr>
        <w:drawing>
          <wp:anchor distT="0" distB="0" distL="114300" distR="114300" simplePos="0" relativeHeight="251661312" behindDoc="0" locked="0" layoutInCell="1" allowOverlap="1" wp14:anchorId="08DB345D" wp14:editId="5C64A336">
            <wp:simplePos x="0" y="0"/>
            <wp:positionH relativeFrom="margin">
              <wp:align>center</wp:align>
            </wp:positionH>
            <wp:positionV relativeFrom="paragraph">
              <wp:posOffset>975360</wp:posOffset>
            </wp:positionV>
            <wp:extent cx="4976291" cy="3276884"/>
            <wp:effectExtent l="0" t="0" r="0" b="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8">
                      <a:extLst>
                        <a:ext uri="{28A0092B-C50C-407E-A947-70E740481C1C}">
                          <a14:useLocalDpi xmlns:a14="http://schemas.microsoft.com/office/drawing/2010/main" val="0"/>
                        </a:ext>
                      </a:extLst>
                    </a:blip>
                    <a:stretch>
                      <a:fillRect/>
                    </a:stretch>
                  </pic:blipFill>
                  <pic:spPr>
                    <a:xfrm>
                      <a:off x="0" y="0"/>
                      <a:ext cx="4976291" cy="3276884"/>
                    </a:xfrm>
                    <a:prstGeom prst="rect">
                      <a:avLst/>
                    </a:prstGeom>
                  </pic:spPr>
                </pic:pic>
              </a:graphicData>
            </a:graphic>
          </wp:anchor>
        </w:drawing>
      </w:r>
      <w:r w:rsidR="004371CF">
        <w:rPr>
          <w:noProof/>
        </w:rPr>
        <mc:AlternateContent>
          <mc:Choice Requires="wps">
            <w:drawing>
              <wp:anchor distT="0" distB="0" distL="114300" distR="114300" simplePos="0" relativeHeight="251663360" behindDoc="0" locked="0" layoutInCell="1" allowOverlap="1" wp14:anchorId="25434EAF" wp14:editId="71EBE063">
                <wp:simplePos x="0" y="0"/>
                <wp:positionH relativeFrom="column">
                  <wp:posOffset>149225</wp:posOffset>
                </wp:positionH>
                <wp:positionV relativeFrom="paragraph">
                  <wp:posOffset>4187190</wp:posOffset>
                </wp:positionV>
                <wp:extent cx="4975860" cy="635"/>
                <wp:effectExtent l="0" t="0" r="0" b="0"/>
                <wp:wrapSquare wrapText="bothSides"/>
                <wp:docPr id="5" name="Πλαίσιο κειμένου 5"/>
                <wp:cNvGraphicFramePr/>
                <a:graphic xmlns:a="http://schemas.openxmlformats.org/drawingml/2006/main">
                  <a:graphicData uri="http://schemas.microsoft.com/office/word/2010/wordprocessingShape">
                    <wps:wsp>
                      <wps:cNvSpPr txBox="1"/>
                      <wps:spPr>
                        <a:xfrm>
                          <a:off x="0" y="0"/>
                          <a:ext cx="4975860" cy="635"/>
                        </a:xfrm>
                        <a:prstGeom prst="rect">
                          <a:avLst/>
                        </a:prstGeom>
                        <a:solidFill>
                          <a:prstClr val="white"/>
                        </a:solidFill>
                        <a:ln>
                          <a:noFill/>
                        </a:ln>
                      </wps:spPr>
                      <wps:txbx>
                        <w:txbxContent>
                          <w:p w14:paraId="2A9FC9BC" w14:textId="44BBAA3D" w:rsidR="004371CF" w:rsidRPr="00217516" w:rsidRDefault="004371CF" w:rsidP="004371CF">
                            <w:pPr>
                              <w:pStyle w:val="a3"/>
                              <w:rPr>
                                <w:rFonts w:asciiTheme="majorHAnsi" w:hAnsiTheme="majorHAnsi" w:cstheme="majorHAnsi"/>
                                <w:noProof/>
                              </w:rPr>
                            </w:pPr>
                            <w:r>
                              <w:t xml:space="preserve">Εικόνα </w:t>
                            </w:r>
                            <w:r w:rsidR="00E701E9">
                              <w:fldChar w:fldCharType="begin"/>
                            </w:r>
                            <w:r w:rsidR="00E701E9">
                              <w:instrText xml:space="preserve"> SEQ Εικόνα \* ARABIC </w:instrText>
                            </w:r>
                            <w:r w:rsidR="00E701E9">
                              <w:fldChar w:fldCharType="separate"/>
                            </w:r>
                            <w:r w:rsidR="00F71E01">
                              <w:rPr>
                                <w:noProof/>
                              </w:rPr>
                              <w:t>2</w:t>
                            </w:r>
                            <w:r w:rsidR="00E701E9">
                              <w:rPr>
                                <w:noProof/>
                              </w:rPr>
                              <w:fldChar w:fldCharType="end"/>
                            </w:r>
                            <w:r>
                              <w:t xml:space="preserve">: Φάσματα απορρόφησης </w:t>
                            </w:r>
                            <w:r>
                              <w:rPr>
                                <w:lang w:val="en-US"/>
                              </w:rPr>
                              <w:t>IR</w:t>
                            </w:r>
                            <w:r w:rsidRPr="004371CF">
                              <w:t xml:space="preserve"> </w:t>
                            </w:r>
                            <w:r>
                              <w:t xml:space="preserve">της δόνησης έκτασης του νιτριλίου. Η συγκέντρωση του διαλύματος είναι 0.1Μ. Οι διακεκομμένες γραμμές αντιστοιχούν στα </w:t>
                            </w:r>
                            <w:r>
                              <w:rPr>
                                <w:lang w:val="en-US"/>
                              </w:rPr>
                              <w:t>n</w:t>
                            </w:r>
                            <w:r w:rsidRPr="004371CF">
                              <w:t>-</w:t>
                            </w:r>
                            <w:r>
                              <w:t>κυανοφαινοξείδια σε μεθανόλη και οι συμπαγείς γραμμές αντιστοιχούν  στις ουδέτερες κυανοφαινόλες.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5434EAF" id="_x0000_t202" coordsize="21600,21600" o:spt="202" path="m,l,21600r21600,l21600,xe">
                <v:stroke joinstyle="miter"/>
                <v:path gradientshapeok="t" o:connecttype="rect"/>
              </v:shapetype>
              <v:shape id="Πλαίσιο κειμένου 5" o:spid="_x0000_s1027" type="#_x0000_t202" style="position:absolute;left:0;text-align:left;margin-left:11.75pt;margin-top:329.7pt;width:391.8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" stroked="f">
                <v:textbox style="mso-fit-shape-to-text:t" inset="0,0,0,0">
                  <w:txbxContent>
                    <w:p w14:paraId="2A9FC9BC" w14:textId="44BBAA3D" w:rsidR="004371CF" w:rsidRPr="00217516" w:rsidRDefault="004371CF" w:rsidP="004371CF">
                      <w:pPr>
                        <w:pStyle w:val="a3"/>
                        <w:rPr>
                          <w:rFonts w:asciiTheme="majorHAnsi" w:hAnsiTheme="majorHAnsi" w:cstheme="majorHAnsi"/>
                          <w:noProof/>
                        </w:rPr>
                      </w:pPr>
                      <w:r>
                        <w:t xml:space="preserve">Εικόνα </w:t>
                      </w:r>
                      <w:r w:rsidR="00E701E9">
                        <w:fldChar w:fldCharType="begin"/>
                      </w:r>
                      <w:r w:rsidR="00E701E9">
                        <w:instrText xml:space="preserve"> SEQ Εικόνα \* ARABIC </w:instrText>
                      </w:r>
                      <w:r w:rsidR="00E701E9">
                        <w:fldChar w:fldCharType="separate"/>
                      </w:r>
                      <w:r w:rsidR="00F71E01">
                        <w:rPr>
                          <w:noProof/>
                        </w:rPr>
                        <w:t>2</w:t>
                      </w:r>
                      <w:r w:rsidR="00E701E9">
                        <w:rPr>
                          <w:noProof/>
                        </w:rPr>
                        <w:fldChar w:fldCharType="end"/>
                      </w:r>
                      <w:r>
                        <w:t xml:space="preserve">: Φάσματα απορρόφησης </w:t>
                      </w:r>
                      <w:r>
                        <w:rPr>
                          <w:lang w:val="en-US"/>
                        </w:rPr>
                        <w:t>IR</w:t>
                      </w:r>
                      <w:r w:rsidRPr="004371CF">
                        <w:t xml:space="preserve"> </w:t>
                      </w:r>
                      <w:r>
                        <w:t xml:space="preserve">της δόνησης έκτασης του νιτριλίου. Η συγκέντρωση του διαλύματος είναι 0.1Μ. Οι διακεκομμένες γραμμές αντιστοιχούν στα </w:t>
                      </w:r>
                      <w:r>
                        <w:rPr>
                          <w:lang w:val="en-US"/>
                        </w:rPr>
                        <w:t>n</w:t>
                      </w:r>
                      <w:r w:rsidRPr="004371CF">
                        <w:t>-</w:t>
                      </w:r>
                      <w:r>
                        <w:t>κυανοφαινοξείδια σε μεθανόλη και οι συμπαγείς γραμμές αντιστοιχούν  στις ουδέτερες κυανοφαινόλες.</w:t>
                      </w:r>
                    </w:p>
                  </w:txbxContent>
                </v:textbox>
                <w10:wrap type="square"/>
              </v:shape>
            </w:pict>
          </mc:Fallback>
        </mc:AlternateContent>
      </w:r>
      <w:r w:rsidR="002B2CBF">
        <w:rPr>
          <w:rFonts w:asciiTheme="majorHAnsi" w:eastAsiaTheme="minorEastAsia" w:hAnsiTheme="majorHAnsi" w:cstheme="majorHAnsi"/>
        </w:rPr>
        <w:t>Στην Εικόνα 2 δίνονται οι κ</w:t>
      </w:r>
      <w:r>
        <w:rPr>
          <w:rFonts w:asciiTheme="majorHAnsi" w:eastAsiaTheme="minorEastAsia" w:hAnsiTheme="majorHAnsi" w:cstheme="majorHAnsi"/>
        </w:rPr>
        <w:t>αμπύλες για τη δόνηση έκτασης</w:t>
      </w:r>
      <w:r w:rsidR="002B2CBF">
        <w:rPr>
          <w:rFonts w:asciiTheme="majorHAnsi" w:eastAsiaTheme="minorEastAsia" w:hAnsiTheme="majorHAnsi" w:cstheme="majorHAnsi"/>
        </w:rPr>
        <w:t xml:space="preserve"> για την ομάδα του νιτριλίου στο φάσμα απορρόφησης. Οι κορυφές δείχνουν μία έντονη εξάρτηση της συχνότητας για τη δόνηση </w:t>
      </w:r>
      <w:r w:rsidR="00D828BF">
        <w:rPr>
          <w:rFonts w:asciiTheme="majorHAnsi" w:eastAsiaTheme="minorEastAsia" w:hAnsiTheme="majorHAnsi" w:cstheme="majorHAnsi"/>
        </w:rPr>
        <w:t>έκτασης</w:t>
      </w:r>
      <w:r w:rsidR="002B2CBF">
        <w:rPr>
          <w:rFonts w:asciiTheme="majorHAnsi" w:eastAsiaTheme="minorEastAsia" w:hAnsiTheme="majorHAnsi" w:cstheme="majorHAnsi"/>
        </w:rPr>
        <w:t xml:space="preserve"> του νιτριλίου από τη μοριακή δομή. </w:t>
      </w:r>
      <w:r w:rsidR="003E6413">
        <w:rPr>
          <w:rFonts w:asciiTheme="majorHAnsi" w:eastAsiaTheme="minorEastAsia" w:hAnsiTheme="majorHAnsi" w:cstheme="majorHAnsi"/>
        </w:rPr>
        <w:t xml:space="preserve">Έτσι, ο συντονισμός επιδρά στη συχνότητα δόνησης του νιτριλίου ανάλογα με την υποκατάσταση, ως εξής: </w:t>
      </w:r>
      <w:r w:rsidR="003E6413" w:rsidRPr="003E6413">
        <w:rPr>
          <w:rFonts w:asciiTheme="majorHAnsi" w:eastAsiaTheme="minorEastAsia" w:hAnsiTheme="majorHAnsi" w:cstheme="majorHAnsi"/>
        </w:rPr>
        <w:t>4</w:t>
      </w:r>
      <w:r w:rsidR="003E6413">
        <w:rPr>
          <w:rFonts w:asciiTheme="majorHAnsi" w:eastAsiaTheme="minorEastAsia" w:hAnsiTheme="majorHAnsi" w:cstheme="majorHAnsi"/>
          <w:lang w:val="en-US"/>
        </w:rPr>
        <w:t>CP</w:t>
      </w:r>
      <w:r w:rsidR="003E6413" w:rsidRPr="003E6413">
        <w:rPr>
          <w:rFonts w:asciiTheme="majorHAnsi" w:eastAsiaTheme="minorEastAsia" w:hAnsiTheme="majorHAnsi" w:cstheme="majorHAnsi"/>
        </w:rPr>
        <w:t>&gt;2</w:t>
      </w:r>
      <w:r w:rsidR="003E6413">
        <w:rPr>
          <w:rFonts w:asciiTheme="majorHAnsi" w:eastAsiaTheme="minorEastAsia" w:hAnsiTheme="majorHAnsi" w:cstheme="majorHAnsi"/>
          <w:lang w:val="en-US"/>
        </w:rPr>
        <w:t>CP</w:t>
      </w:r>
      <w:r w:rsidR="003E6413" w:rsidRPr="003E6413">
        <w:rPr>
          <w:rFonts w:asciiTheme="majorHAnsi" w:eastAsiaTheme="minorEastAsia" w:hAnsiTheme="majorHAnsi" w:cstheme="majorHAnsi"/>
        </w:rPr>
        <w:t>&gt;3</w:t>
      </w:r>
      <w:r w:rsidR="003E6413">
        <w:rPr>
          <w:rFonts w:asciiTheme="majorHAnsi" w:eastAsiaTheme="minorEastAsia" w:hAnsiTheme="majorHAnsi" w:cstheme="majorHAnsi"/>
          <w:lang w:val="en-US"/>
        </w:rPr>
        <w:t>CP</w:t>
      </w:r>
      <w:r w:rsidR="003E6413" w:rsidRPr="003E6413">
        <w:rPr>
          <w:rFonts w:asciiTheme="majorHAnsi" w:eastAsiaTheme="minorEastAsia" w:hAnsiTheme="majorHAnsi" w:cstheme="majorHAnsi"/>
        </w:rPr>
        <w:t xml:space="preserve"> </w:t>
      </w:r>
      <w:r w:rsidR="003E6413">
        <w:rPr>
          <w:rFonts w:asciiTheme="majorHAnsi" w:eastAsiaTheme="minorEastAsia" w:hAnsiTheme="majorHAnsi" w:cstheme="majorHAnsi"/>
        </w:rPr>
        <w:t xml:space="preserve">και </w:t>
      </w:r>
      <w:r w:rsidR="003E6413" w:rsidRPr="003E6413">
        <w:rPr>
          <w:rFonts w:asciiTheme="majorHAnsi" w:eastAsiaTheme="minorEastAsia" w:hAnsiTheme="majorHAnsi" w:cstheme="majorHAnsi"/>
        </w:rPr>
        <w:t>4</w:t>
      </w:r>
      <w:r w:rsidR="003E6413">
        <w:rPr>
          <w:rFonts w:asciiTheme="majorHAnsi" w:eastAsiaTheme="minorEastAsia" w:hAnsiTheme="majorHAnsi" w:cstheme="majorHAnsi"/>
          <w:lang w:val="en-US"/>
        </w:rPr>
        <w:t>CX</w:t>
      </w:r>
      <w:r w:rsidR="003E6413" w:rsidRPr="003E6413">
        <w:rPr>
          <w:rFonts w:asciiTheme="majorHAnsi" w:eastAsiaTheme="minorEastAsia" w:hAnsiTheme="majorHAnsi" w:cstheme="majorHAnsi"/>
        </w:rPr>
        <w:t>&gt;2</w:t>
      </w:r>
      <w:r w:rsidR="003E6413">
        <w:rPr>
          <w:rFonts w:asciiTheme="majorHAnsi" w:eastAsiaTheme="minorEastAsia" w:hAnsiTheme="majorHAnsi" w:cstheme="majorHAnsi"/>
          <w:lang w:val="en-US"/>
        </w:rPr>
        <w:t>CX</w:t>
      </w:r>
      <w:r w:rsidR="003E6413" w:rsidRPr="003E6413">
        <w:rPr>
          <w:rFonts w:asciiTheme="majorHAnsi" w:eastAsiaTheme="minorEastAsia" w:hAnsiTheme="majorHAnsi" w:cstheme="majorHAnsi"/>
        </w:rPr>
        <w:t>&gt;3</w:t>
      </w:r>
      <w:r w:rsidR="003E6413">
        <w:rPr>
          <w:rFonts w:asciiTheme="majorHAnsi" w:eastAsiaTheme="minorEastAsia" w:hAnsiTheme="majorHAnsi" w:cstheme="majorHAnsi"/>
          <w:lang w:val="en-US"/>
        </w:rPr>
        <w:t>CX</w:t>
      </w:r>
      <w:r w:rsidR="003E6413" w:rsidRPr="003E6413">
        <w:rPr>
          <w:rFonts w:asciiTheme="majorHAnsi" w:eastAsiaTheme="minorEastAsia" w:hAnsiTheme="majorHAnsi" w:cstheme="majorHAnsi"/>
        </w:rPr>
        <w:t xml:space="preserve">. </w:t>
      </w:r>
    </w:p>
    <w:p w14:paraId="689E013A" w14:textId="4ADE33CC" w:rsidR="00D828BF" w:rsidRDefault="00D828BF" w:rsidP="00DE5F71">
      <w:pPr>
        <w:jc w:val="both"/>
        <w:rPr>
          <w:rFonts w:asciiTheme="majorHAnsi" w:eastAsiaTheme="minorEastAsia" w:hAnsiTheme="majorHAnsi" w:cstheme="majorHAnsi"/>
        </w:rPr>
      </w:pPr>
      <w:r>
        <w:rPr>
          <w:rFonts w:asciiTheme="majorHAnsi" w:eastAsiaTheme="minorEastAsia" w:hAnsiTheme="majorHAnsi" w:cstheme="majorHAnsi"/>
        </w:rPr>
        <w:t xml:space="preserve">Επιπλέον παρατηρείται ότι οι συχνότητα της δόνησης έκτασης του </w:t>
      </w:r>
      <w:r>
        <w:rPr>
          <w:rFonts w:asciiTheme="majorHAnsi" w:eastAsiaTheme="minorEastAsia" w:hAnsiTheme="majorHAnsi" w:cstheme="majorHAnsi"/>
          <w:lang w:val="en-US"/>
        </w:rPr>
        <w:t>CN</w:t>
      </w:r>
      <w:r w:rsidRPr="00D828BF">
        <w:rPr>
          <w:rFonts w:asciiTheme="majorHAnsi" w:eastAsiaTheme="minorEastAsia" w:hAnsiTheme="majorHAnsi" w:cstheme="majorHAnsi"/>
        </w:rPr>
        <w:t xml:space="preserve"> </w:t>
      </w:r>
      <w:r>
        <w:rPr>
          <w:rFonts w:asciiTheme="majorHAnsi" w:eastAsiaTheme="minorEastAsia" w:hAnsiTheme="majorHAnsi" w:cstheme="majorHAnsi"/>
        </w:rPr>
        <w:t xml:space="preserve">στα κυανοφαινοξείδια μετατοπίζεται προς τα αριστερά στην </w:t>
      </w:r>
      <w:r>
        <w:rPr>
          <w:rFonts w:asciiTheme="majorHAnsi" w:eastAsiaTheme="minorEastAsia" w:hAnsiTheme="majorHAnsi" w:cstheme="majorHAnsi"/>
          <w:lang w:val="en-US"/>
        </w:rPr>
        <w:t>IR</w:t>
      </w:r>
      <w:r w:rsidRPr="00D828BF">
        <w:rPr>
          <w:rFonts w:asciiTheme="majorHAnsi" w:eastAsiaTheme="minorEastAsia" w:hAnsiTheme="majorHAnsi" w:cstheme="majorHAnsi"/>
        </w:rPr>
        <w:t xml:space="preserve"> </w:t>
      </w:r>
      <w:r>
        <w:rPr>
          <w:rFonts w:asciiTheme="majorHAnsi" w:eastAsiaTheme="minorEastAsia" w:hAnsiTheme="majorHAnsi" w:cstheme="majorHAnsi"/>
        </w:rPr>
        <w:t xml:space="preserve">περιοχή όταν βρίσκεται σε βασικό περιβάλλον. Όλες οι φασματικές γραμμές της δόνησης έκτασης του </w:t>
      </w:r>
      <w:r>
        <w:rPr>
          <w:rFonts w:asciiTheme="majorHAnsi" w:eastAsiaTheme="minorEastAsia" w:hAnsiTheme="majorHAnsi" w:cstheme="majorHAnsi"/>
          <w:lang w:val="en-US"/>
        </w:rPr>
        <w:t>CN</w:t>
      </w:r>
      <w:r w:rsidRPr="00D828BF">
        <w:rPr>
          <w:rFonts w:asciiTheme="majorHAnsi" w:eastAsiaTheme="minorEastAsia" w:hAnsiTheme="majorHAnsi" w:cstheme="majorHAnsi"/>
        </w:rPr>
        <w:t xml:space="preserve"> </w:t>
      </w:r>
      <w:r>
        <w:rPr>
          <w:rFonts w:asciiTheme="majorHAnsi" w:eastAsiaTheme="minorEastAsia" w:hAnsiTheme="majorHAnsi" w:cstheme="majorHAnsi"/>
        </w:rPr>
        <w:t>είναι ασύμμετρες</w:t>
      </w:r>
      <w:r w:rsidR="008771AB" w:rsidRPr="008771AB">
        <w:rPr>
          <w:rFonts w:asciiTheme="majorHAnsi" w:eastAsiaTheme="minorEastAsia" w:hAnsiTheme="majorHAnsi" w:cstheme="majorHAnsi"/>
        </w:rPr>
        <w:t xml:space="preserve">, </w:t>
      </w:r>
      <w:r w:rsidR="008771AB">
        <w:rPr>
          <w:rFonts w:asciiTheme="majorHAnsi" w:eastAsiaTheme="minorEastAsia" w:hAnsiTheme="majorHAnsi" w:cstheme="majorHAnsi"/>
        </w:rPr>
        <w:t>κάτι που υποδεικνύει είτε ετερογένεια στη διάλυση των ενώσεων (σχηματισμός ή όχι δεσμών υδρογόνου με τη μεθανόλη) είτε την ύπαρξη επιπλέον δονητικών καταστάσεων πέρα από τη δόνηση έκτασης του νιτριλίου.</w:t>
      </w:r>
    </w:p>
    <w:p w14:paraId="4975FF03" w14:textId="359C7D8D" w:rsidR="008771AB" w:rsidRPr="00D533F7" w:rsidRDefault="008771AB" w:rsidP="00D22089">
      <w:pPr>
        <w:pStyle w:val="2"/>
        <w:rPr>
          <w:rFonts w:eastAsiaTheme="minorEastAsia"/>
        </w:rPr>
      </w:pPr>
      <w:r>
        <w:rPr>
          <w:rFonts w:eastAsiaTheme="minorEastAsia"/>
        </w:rPr>
        <w:t>Σχηματισμός Συσσωματωμάτων (</w:t>
      </w:r>
      <w:r>
        <w:rPr>
          <w:rFonts w:eastAsiaTheme="minorEastAsia"/>
          <w:lang w:val="en-US"/>
        </w:rPr>
        <w:t>Aggregate</w:t>
      </w:r>
      <w:r w:rsidRPr="00D533F7">
        <w:rPr>
          <w:rFonts w:eastAsiaTheme="minorEastAsia"/>
        </w:rPr>
        <w:t xml:space="preserve"> </w:t>
      </w:r>
      <w:r>
        <w:rPr>
          <w:rFonts w:eastAsiaTheme="minorEastAsia"/>
          <w:lang w:val="en-US"/>
        </w:rPr>
        <w:t>Formation</w:t>
      </w:r>
      <w:r w:rsidRPr="00D533F7">
        <w:rPr>
          <w:rFonts w:eastAsiaTheme="minorEastAsia"/>
        </w:rPr>
        <w:t>)</w:t>
      </w:r>
    </w:p>
    <w:p w14:paraId="4F895B12" w14:textId="75BB7A68" w:rsidR="00D22089" w:rsidRDefault="00D22089" w:rsidP="00D22089">
      <w:pPr>
        <w:jc w:val="both"/>
      </w:pPr>
      <w:r>
        <w:t xml:space="preserve">Λόγω της υψηλής συγκέντρωσης των διαλυμάτων που χρησιμοποιήθηκαν πειραματικά, </w:t>
      </w:r>
      <w:r w:rsidRPr="00D22089">
        <w:t xml:space="preserve">0.2 </w:t>
      </w:r>
      <w:r>
        <w:rPr>
          <w:lang w:val="en-US"/>
        </w:rPr>
        <w:t>M</w:t>
      </w:r>
      <w:r>
        <w:t xml:space="preserve">, ήταν απαραίτητο να διερευνηθεί αν οι </w:t>
      </w:r>
      <w:r w:rsidR="00E701E9">
        <w:rPr>
          <w:lang w:val="en-US"/>
        </w:rPr>
        <w:t>n</w:t>
      </w:r>
      <w:r w:rsidR="00E701E9" w:rsidRPr="00E701E9">
        <w:t>-</w:t>
      </w:r>
      <w:r>
        <w:t xml:space="preserve">κυανοφαινόλες και τα </w:t>
      </w:r>
      <w:r>
        <w:rPr>
          <w:lang w:val="en-US"/>
        </w:rPr>
        <w:t>n</w:t>
      </w:r>
      <w:r w:rsidRPr="00D22089">
        <w:t>-</w:t>
      </w:r>
      <w:r>
        <w:t>κυανοφαινοξείδια σχηματίζουν συσσωματώματα κατά τη διάλυσή τους σε μεθανόλη.</w:t>
      </w:r>
      <w:r w:rsidR="00906745">
        <w:t xml:space="preserve"> </w:t>
      </w:r>
      <w:r w:rsidR="00E701E9">
        <w:t>Γι’</w:t>
      </w:r>
      <w:r w:rsidR="00906745">
        <w:t xml:space="preserve"> αυτόν τον σκοπό πάρθηκαν τα φάσματα απορρόφησης </w:t>
      </w:r>
      <w:r w:rsidR="00906745">
        <w:rPr>
          <w:lang w:val="en-US"/>
        </w:rPr>
        <w:t>UV</w:t>
      </w:r>
      <w:r w:rsidR="00906745" w:rsidRPr="00906745">
        <w:t>-</w:t>
      </w:r>
      <w:r w:rsidR="00906745">
        <w:rPr>
          <w:lang w:val="en-US"/>
        </w:rPr>
        <w:t>vis</w:t>
      </w:r>
      <w:r w:rsidR="00906745" w:rsidRPr="00906745">
        <w:t xml:space="preserve"> </w:t>
      </w:r>
      <w:r w:rsidR="00906745">
        <w:t xml:space="preserve">και </w:t>
      </w:r>
      <w:r w:rsidR="00906745">
        <w:rPr>
          <w:lang w:val="en-US"/>
        </w:rPr>
        <w:t>IR</w:t>
      </w:r>
      <w:r w:rsidR="00906745" w:rsidRPr="00906745">
        <w:t xml:space="preserve"> </w:t>
      </w:r>
      <w:r w:rsidR="00906745">
        <w:t xml:space="preserve">καθώς και το φάσμα </w:t>
      </w:r>
      <w:r w:rsidR="00906745">
        <w:rPr>
          <w:lang w:val="en-US"/>
        </w:rPr>
        <w:t>NMR</w:t>
      </w:r>
      <w:r w:rsidR="00906745" w:rsidRPr="00906745">
        <w:t xml:space="preserve"> </w:t>
      </w:r>
      <w:r w:rsidR="00906745">
        <w:t>του 4</w:t>
      </w:r>
      <w:r w:rsidR="00906745">
        <w:rPr>
          <w:lang w:val="en-US"/>
        </w:rPr>
        <w:t>CP</w:t>
      </w:r>
      <w:r w:rsidR="00906745" w:rsidRPr="00906745">
        <w:t xml:space="preserve"> </w:t>
      </w:r>
      <w:r w:rsidR="00906745">
        <w:t>σε μεθανόλη όπου διαπιστώθηκε ότι τα μόρια των κυανοφαινολών δε σχηματίζουν ούτε διμερή ούτε συσσωματώματα στις συγκεντρώσεις στις οποίες εργάστηκε η ερευνητική ομάδα.</w:t>
      </w:r>
    </w:p>
    <w:p w14:paraId="23E849A1" w14:textId="15237C9D" w:rsidR="00906745" w:rsidRPr="00D82068" w:rsidRDefault="00D82068" w:rsidP="00D82068">
      <w:pPr>
        <w:pStyle w:val="2"/>
      </w:pPr>
      <w:r>
        <w:t xml:space="preserve">Φασματοσκοπία </w:t>
      </w:r>
      <w:r>
        <w:rPr>
          <w:lang w:val="en-US"/>
        </w:rPr>
        <w:t>IR</w:t>
      </w:r>
      <w:r w:rsidRPr="00D82068">
        <w:t xml:space="preserve"> </w:t>
      </w:r>
      <w:r>
        <w:t>Δύο Διαστάσεων για τη Δόνηση Έκτασης του Νιτριλίου</w:t>
      </w:r>
    </w:p>
    <w:p w14:paraId="162B823F" w14:textId="689B62F4" w:rsidR="004371CF" w:rsidRDefault="00D82068" w:rsidP="00DE5F71">
      <w:pPr>
        <w:jc w:val="both"/>
        <w:rPr>
          <w:rFonts w:asciiTheme="majorHAnsi" w:eastAsiaTheme="minorEastAsia" w:hAnsiTheme="majorHAnsi" w:cstheme="majorHAnsi"/>
        </w:rPr>
      </w:pPr>
      <w:r>
        <w:rPr>
          <w:rFonts w:asciiTheme="majorHAnsi" w:eastAsiaTheme="minorEastAsia" w:hAnsiTheme="majorHAnsi" w:cstheme="majorHAnsi"/>
        </w:rPr>
        <w:t xml:space="preserve">Μελετήθηκαν και τα έξι δείγματα σε συγκέντρωση </w:t>
      </w:r>
      <w:r w:rsidR="00C9432D">
        <w:rPr>
          <w:rFonts w:asciiTheme="majorHAnsi" w:eastAsiaTheme="minorEastAsia" w:hAnsiTheme="majorHAnsi" w:cstheme="majorHAnsi"/>
        </w:rPr>
        <w:sym w:font="Symbol" w:char="F07E"/>
      </w:r>
      <w:r w:rsidR="00C9432D">
        <w:rPr>
          <w:rFonts w:asciiTheme="majorHAnsi" w:eastAsiaTheme="minorEastAsia" w:hAnsiTheme="majorHAnsi" w:cstheme="majorHAnsi"/>
        </w:rPr>
        <w:t xml:space="preserve">0.2 </w:t>
      </w:r>
      <w:r w:rsidR="00C9432D">
        <w:rPr>
          <w:rFonts w:asciiTheme="majorHAnsi" w:eastAsiaTheme="minorEastAsia" w:hAnsiTheme="majorHAnsi" w:cstheme="majorHAnsi"/>
          <w:lang w:val="en-US"/>
        </w:rPr>
        <w:t>M</w:t>
      </w:r>
      <w:r w:rsidR="00C9432D" w:rsidRPr="00C9432D">
        <w:rPr>
          <w:rFonts w:asciiTheme="majorHAnsi" w:eastAsiaTheme="minorEastAsia" w:hAnsiTheme="majorHAnsi" w:cstheme="majorHAnsi"/>
        </w:rPr>
        <w:t xml:space="preserve"> </w:t>
      </w:r>
      <w:r w:rsidR="00C9432D">
        <w:rPr>
          <w:rFonts w:asciiTheme="majorHAnsi" w:eastAsiaTheme="minorEastAsia" w:hAnsiTheme="majorHAnsi" w:cstheme="majorHAnsi"/>
        </w:rPr>
        <w:t xml:space="preserve">και παρουσιάζονται τα αποτελέσματα για το </w:t>
      </w:r>
      <w:r w:rsidR="00C9432D" w:rsidRPr="00C9432D">
        <w:rPr>
          <w:rFonts w:asciiTheme="majorHAnsi" w:eastAsiaTheme="minorEastAsia" w:hAnsiTheme="majorHAnsi" w:cstheme="majorHAnsi"/>
        </w:rPr>
        <w:t>4</w:t>
      </w:r>
      <w:r w:rsidR="00C9432D">
        <w:rPr>
          <w:rFonts w:asciiTheme="majorHAnsi" w:eastAsiaTheme="minorEastAsia" w:hAnsiTheme="majorHAnsi" w:cstheme="majorHAnsi"/>
          <w:lang w:val="en-US"/>
        </w:rPr>
        <w:t>CP</w:t>
      </w:r>
      <w:r w:rsidR="00C9432D" w:rsidRPr="00C9432D">
        <w:rPr>
          <w:rFonts w:asciiTheme="majorHAnsi" w:eastAsiaTheme="minorEastAsia" w:hAnsiTheme="majorHAnsi" w:cstheme="majorHAnsi"/>
        </w:rPr>
        <w:t xml:space="preserve">, </w:t>
      </w:r>
      <w:r w:rsidR="00C9432D">
        <w:rPr>
          <w:rFonts w:asciiTheme="majorHAnsi" w:eastAsiaTheme="minorEastAsia" w:hAnsiTheme="majorHAnsi" w:cstheme="majorHAnsi"/>
        </w:rPr>
        <w:t xml:space="preserve">το </w:t>
      </w:r>
      <w:r w:rsidR="00C9432D" w:rsidRPr="00C9432D">
        <w:rPr>
          <w:rFonts w:asciiTheme="majorHAnsi" w:eastAsiaTheme="minorEastAsia" w:hAnsiTheme="majorHAnsi" w:cstheme="majorHAnsi"/>
        </w:rPr>
        <w:t>4</w:t>
      </w:r>
      <w:r w:rsidR="00C9432D">
        <w:rPr>
          <w:rFonts w:asciiTheme="majorHAnsi" w:eastAsiaTheme="minorEastAsia" w:hAnsiTheme="majorHAnsi" w:cstheme="majorHAnsi"/>
          <w:lang w:val="en-US"/>
        </w:rPr>
        <w:t>CX</w:t>
      </w:r>
      <w:r w:rsidR="00C9432D" w:rsidRPr="00C9432D">
        <w:rPr>
          <w:rFonts w:asciiTheme="majorHAnsi" w:eastAsiaTheme="minorEastAsia" w:hAnsiTheme="majorHAnsi" w:cstheme="majorHAnsi"/>
        </w:rPr>
        <w:t xml:space="preserve"> </w:t>
      </w:r>
      <w:r w:rsidR="00C9432D">
        <w:rPr>
          <w:rFonts w:asciiTheme="majorHAnsi" w:eastAsiaTheme="minorEastAsia" w:hAnsiTheme="majorHAnsi" w:cstheme="majorHAnsi"/>
        </w:rPr>
        <w:t>και για το μίγμα τους σε μεθανόλη.</w:t>
      </w:r>
    </w:p>
    <w:p w14:paraId="2C30217A" w14:textId="389ED430" w:rsidR="00C9432D" w:rsidRDefault="00C9432D" w:rsidP="00DE5F71">
      <w:pPr>
        <w:jc w:val="both"/>
        <w:rPr>
          <w:rFonts w:asciiTheme="majorHAnsi" w:eastAsiaTheme="minorEastAsia" w:hAnsiTheme="majorHAnsi" w:cstheme="majorHAnsi"/>
        </w:rPr>
      </w:pPr>
      <w:r>
        <w:rPr>
          <w:noProof/>
        </w:rPr>
        <w:lastRenderedPageBreak/>
        <mc:AlternateContent>
          <mc:Choice Requires="wps">
            <w:drawing>
              <wp:anchor distT="0" distB="0" distL="114300" distR="114300" simplePos="0" relativeHeight="251666432" behindDoc="0" locked="0" layoutInCell="1" allowOverlap="1" wp14:anchorId="403F0E87" wp14:editId="650CEEF9">
                <wp:simplePos x="0" y="0"/>
                <wp:positionH relativeFrom="column">
                  <wp:posOffset>389255</wp:posOffset>
                </wp:positionH>
                <wp:positionV relativeFrom="paragraph">
                  <wp:posOffset>4090035</wp:posOffset>
                </wp:positionV>
                <wp:extent cx="4495800" cy="635"/>
                <wp:effectExtent l="0" t="0" r="0" b="0"/>
                <wp:wrapSquare wrapText="bothSides"/>
                <wp:docPr id="7" name="Πλαίσιο κειμένου 7"/>
                <wp:cNvGraphicFramePr/>
                <a:graphic xmlns:a="http://schemas.openxmlformats.org/drawingml/2006/main">
                  <a:graphicData uri="http://schemas.microsoft.com/office/word/2010/wordprocessingShape">
                    <wps:wsp>
                      <wps:cNvSpPr txBox="1"/>
                      <wps:spPr>
                        <a:xfrm>
                          <a:off x="0" y="0"/>
                          <a:ext cx="4495800" cy="635"/>
                        </a:xfrm>
                        <a:prstGeom prst="rect">
                          <a:avLst/>
                        </a:prstGeom>
                        <a:solidFill>
                          <a:prstClr val="white"/>
                        </a:solidFill>
                        <a:ln>
                          <a:noFill/>
                        </a:ln>
                      </wps:spPr>
                      <wps:txbx>
                        <w:txbxContent>
                          <w:p w14:paraId="69DC94C7" w14:textId="622D74A1" w:rsidR="00C9432D" w:rsidRPr="003C69AB" w:rsidRDefault="00C9432D" w:rsidP="00C9432D">
                            <w:pPr>
                              <w:pStyle w:val="a3"/>
                              <w:rPr>
                                <w:rFonts w:asciiTheme="majorHAnsi" w:hAnsiTheme="majorHAnsi" w:cstheme="majorHAnsi"/>
                                <w:noProof/>
                              </w:rPr>
                            </w:pPr>
                            <w:r>
                              <w:t xml:space="preserve">Εικόνα </w:t>
                            </w:r>
                            <w:fldSimple w:instr=" SEQ Εικόνα \* ARABIC ">
                              <w:r w:rsidR="00F71E01">
                                <w:rPr>
                                  <w:noProof/>
                                </w:rPr>
                                <w:t>3</w:t>
                              </w:r>
                            </w:fldSimple>
                            <w:r>
                              <w:t xml:space="preserve">: Φάσματα </w:t>
                            </w:r>
                            <w:r>
                              <w:rPr>
                                <w:lang w:val="en-US"/>
                              </w:rPr>
                              <w:t>IR</w:t>
                            </w:r>
                            <w:r w:rsidRPr="00C9432D">
                              <w:t xml:space="preserve"> </w:t>
                            </w:r>
                            <w:r>
                              <w:t xml:space="preserve">δύο διαστάσεων για το </w:t>
                            </w:r>
                            <w:r w:rsidRPr="00C9432D">
                              <w:t>4</w:t>
                            </w:r>
                            <w:r>
                              <w:rPr>
                                <w:lang w:val="en-US"/>
                              </w:rPr>
                              <w:t>CP</w:t>
                            </w:r>
                            <w:r w:rsidRPr="00C9432D">
                              <w:t xml:space="preserve"> (</w:t>
                            </w:r>
                            <w:r>
                              <w:t xml:space="preserve">πρώτη κολώνα), για το </w:t>
                            </w:r>
                            <w:r w:rsidRPr="00C9432D">
                              <w:t>4</w:t>
                            </w:r>
                            <w:r>
                              <w:rPr>
                                <w:lang w:val="en-US"/>
                              </w:rPr>
                              <w:t>CX</w:t>
                            </w:r>
                            <w:r w:rsidRPr="00C9432D">
                              <w:t xml:space="preserve"> (</w:t>
                            </w:r>
                            <w:r>
                              <w:t xml:space="preserve">δεύτερη κολώνα) και ένα μίγμα τους (τρίτη κολώνα) σε μεθανόλη. Ο χρόνος </w:t>
                            </w:r>
                            <w:r>
                              <w:rPr>
                                <w:lang w:val="en-US"/>
                              </w:rPr>
                              <w:t>T</w:t>
                            </w:r>
                            <w:r w:rsidRPr="00F71E01">
                              <w:t xml:space="preserve"> </w:t>
                            </w:r>
                            <w:r>
                              <w:t xml:space="preserve">κυμαίνεται από 1 μέχρι 5 </w:t>
                            </w:r>
                            <w:proofErr w:type="spellStart"/>
                            <w:r>
                              <w:rPr>
                                <w:lang w:val="en-US"/>
                              </w:rPr>
                              <w:t>ps</w:t>
                            </w:r>
                            <w:proofErr w:type="spellEnd"/>
                            <w:r w:rsidRPr="00F71E01">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3F0E87" id="Πλαίσιο κειμένου 7" o:spid="_x0000_s1028" type="#_x0000_t202" style="position:absolute;left:0;text-align:left;margin-left:30.65pt;margin-top:322.05pt;width:354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" stroked="f">
                <v:textbox style="mso-fit-shape-to-text:t" inset="0,0,0,0">
                  <w:txbxContent>
                    <w:p w14:paraId="69DC94C7" w14:textId="622D74A1" w:rsidR="00C9432D" w:rsidRPr="003C69AB" w:rsidRDefault="00C9432D" w:rsidP="00C9432D">
                      <w:pPr>
                        <w:pStyle w:val="a3"/>
                        <w:rPr>
                          <w:rFonts w:asciiTheme="majorHAnsi" w:hAnsiTheme="majorHAnsi" w:cstheme="majorHAnsi"/>
                          <w:noProof/>
                        </w:rPr>
                      </w:pPr>
                      <w:r>
                        <w:t xml:space="preserve">Εικόνα </w:t>
                      </w:r>
                      <w:fldSimple w:instr=" SEQ Εικόνα \* ARABIC ">
                        <w:r w:rsidR="00F71E01">
                          <w:rPr>
                            <w:noProof/>
                          </w:rPr>
                          <w:t>3</w:t>
                        </w:r>
                      </w:fldSimple>
                      <w:r>
                        <w:t xml:space="preserve">: Φάσματα </w:t>
                      </w:r>
                      <w:r>
                        <w:rPr>
                          <w:lang w:val="en-US"/>
                        </w:rPr>
                        <w:t>IR</w:t>
                      </w:r>
                      <w:r w:rsidRPr="00C9432D">
                        <w:t xml:space="preserve"> </w:t>
                      </w:r>
                      <w:r>
                        <w:t xml:space="preserve">δύο διαστάσεων για το </w:t>
                      </w:r>
                      <w:r w:rsidRPr="00C9432D">
                        <w:t>4</w:t>
                      </w:r>
                      <w:r>
                        <w:rPr>
                          <w:lang w:val="en-US"/>
                        </w:rPr>
                        <w:t>CP</w:t>
                      </w:r>
                      <w:r w:rsidRPr="00C9432D">
                        <w:t xml:space="preserve"> (</w:t>
                      </w:r>
                      <w:r>
                        <w:t xml:space="preserve">πρώτη κολώνα), για το </w:t>
                      </w:r>
                      <w:r w:rsidRPr="00C9432D">
                        <w:t>4</w:t>
                      </w:r>
                      <w:r>
                        <w:rPr>
                          <w:lang w:val="en-US"/>
                        </w:rPr>
                        <w:t>CX</w:t>
                      </w:r>
                      <w:r w:rsidRPr="00C9432D">
                        <w:t xml:space="preserve"> (</w:t>
                      </w:r>
                      <w:r>
                        <w:t xml:space="preserve">δεύτερη κολώνα) και ένα μίγμα τους (τρίτη κολώνα) σε μεθανόλη. Ο χρόνος </w:t>
                      </w:r>
                      <w:r>
                        <w:rPr>
                          <w:lang w:val="en-US"/>
                        </w:rPr>
                        <w:t>T</w:t>
                      </w:r>
                      <w:r w:rsidRPr="00F71E01">
                        <w:t xml:space="preserve"> </w:t>
                      </w:r>
                      <w:r>
                        <w:t xml:space="preserve">κυμαίνεται από 1 μέχρι 5 </w:t>
                      </w:r>
                      <w:proofErr w:type="spellStart"/>
                      <w:r>
                        <w:rPr>
                          <w:lang w:val="en-US"/>
                        </w:rPr>
                        <w:t>ps</w:t>
                      </w:r>
                      <w:proofErr w:type="spellEnd"/>
                      <w:r w:rsidRPr="00F71E01">
                        <w:t>.</w:t>
                      </w:r>
                    </w:p>
                  </w:txbxContent>
                </v:textbox>
                <w10:wrap type="square"/>
              </v:shape>
            </w:pict>
          </mc:Fallback>
        </mc:AlternateContent>
      </w:r>
      <w:r w:rsidRPr="00C9432D">
        <w:rPr>
          <w:rFonts w:asciiTheme="majorHAnsi" w:eastAsiaTheme="minorEastAsia" w:hAnsiTheme="majorHAnsi" w:cstheme="majorHAnsi"/>
          <w:noProof/>
        </w:rPr>
        <w:drawing>
          <wp:anchor distT="0" distB="0" distL="114300" distR="114300" simplePos="0" relativeHeight="251664384" behindDoc="0" locked="0" layoutInCell="1" allowOverlap="1" wp14:anchorId="17B101BE" wp14:editId="11201D48">
            <wp:simplePos x="0" y="0"/>
            <wp:positionH relativeFrom="margin">
              <wp:align>center</wp:align>
            </wp:positionH>
            <wp:positionV relativeFrom="paragraph">
              <wp:posOffset>434340</wp:posOffset>
            </wp:positionV>
            <wp:extent cx="4495800" cy="3598545"/>
            <wp:effectExtent l="0" t="0" r="0" b="1905"/>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5800" cy="3598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heme="minorEastAsia" w:hAnsiTheme="majorHAnsi" w:cstheme="majorHAnsi"/>
        </w:rPr>
        <w:t xml:space="preserve">Στα φάσματα </w:t>
      </w:r>
      <w:r>
        <w:rPr>
          <w:rFonts w:asciiTheme="majorHAnsi" w:eastAsiaTheme="minorEastAsia" w:hAnsiTheme="majorHAnsi" w:cstheme="majorHAnsi"/>
          <w:lang w:val="en-US"/>
        </w:rPr>
        <w:t>IR</w:t>
      </w:r>
      <w:r w:rsidRPr="00C9432D">
        <w:rPr>
          <w:rFonts w:asciiTheme="majorHAnsi" w:eastAsiaTheme="minorEastAsia" w:hAnsiTheme="majorHAnsi" w:cstheme="majorHAnsi"/>
        </w:rPr>
        <w:t xml:space="preserve"> </w:t>
      </w:r>
      <w:r>
        <w:rPr>
          <w:rFonts w:asciiTheme="majorHAnsi" w:eastAsiaTheme="minorEastAsia" w:hAnsiTheme="majorHAnsi" w:cstheme="majorHAnsi"/>
        </w:rPr>
        <w:t xml:space="preserve">δύο διαστάσεων που ακολουθούν , η μετάπτωση 0-1 δίνει τη θετική κορυφή και η μετάπτωση 1-2 την αρνητική. </w:t>
      </w:r>
    </w:p>
    <w:p w14:paraId="0B96FC32" w14:textId="559F414C" w:rsidR="00C9432D" w:rsidRDefault="00C9432D" w:rsidP="00DE5F71">
      <w:pPr>
        <w:jc w:val="both"/>
        <w:rPr>
          <w:rFonts w:asciiTheme="majorHAnsi" w:eastAsiaTheme="minorEastAsia" w:hAnsiTheme="majorHAnsi" w:cstheme="majorHAnsi"/>
        </w:rPr>
      </w:pPr>
    </w:p>
    <w:p w14:paraId="5998F127" w14:textId="5B683843" w:rsidR="00952E35" w:rsidRPr="00952E35" w:rsidRDefault="00952E35" w:rsidP="00952E35">
      <w:pPr>
        <w:rPr>
          <w:rFonts w:asciiTheme="majorHAnsi" w:eastAsiaTheme="minorEastAsia" w:hAnsiTheme="majorHAnsi" w:cstheme="majorHAnsi"/>
        </w:rPr>
      </w:pPr>
    </w:p>
    <w:p w14:paraId="48434D0A" w14:textId="58EF4549" w:rsidR="00952E35" w:rsidRPr="00952E35" w:rsidRDefault="00952E35" w:rsidP="00952E35">
      <w:pPr>
        <w:rPr>
          <w:rFonts w:asciiTheme="majorHAnsi" w:eastAsiaTheme="minorEastAsia" w:hAnsiTheme="majorHAnsi" w:cstheme="majorHAnsi"/>
        </w:rPr>
      </w:pPr>
    </w:p>
    <w:p w14:paraId="6E41D463" w14:textId="6E7DD61E" w:rsidR="00952E35" w:rsidRPr="00952E35" w:rsidRDefault="00952E35" w:rsidP="00952E35">
      <w:pPr>
        <w:rPr>
          <w:rFonts w:asciiTheme="majorHAnsi" w:eastAsiaTheme="minorEastAsia" w:hAnsiTheme="majorHAnsi" w:cstheme="majorHAnsi"/>
        </w:rPr>
      </w:pPr>
    </w:p>
    <w:p w14:paraId="6C8C3C59" w14:textId="5AF4217C" w:rsidR="00952E35" w:rsidRPr="00952E35" w:rsidRDefault="00952E35" w:rsidP="00952E35">
      <w:pPr>
        <w:rPr>
          <w:rFonts w:asciiTheme="majorHAnsi" w:eastAsiaTheme="minorEastAsia" w:hAnsiTheme="majorHAnsi" w:cstheme="majorHAnsi"/>
        </w:rPr>
      </w:pPr>
    </w:p>
    <w:p w14:paraId="62B57553" w14:textId="6662E4D7" w:rsidR="00952E35" w:rsidRPr="00952E35" w:rsidRDefault="00952E35" w:rsidP="00952E35">
      <w:pPr>
        <w:rPr>
          <w:rFonts w:asciiTheme="majorHAnsi" w:eastAsiaTheme="minorEastAsia" w:hAnsiTheme="majorHAnsi" w:cstheme="majorHAnsi"/>
        </w:rPr>
      </w:pPr>
    </w:p>
    <w:p w14:paraId="7AF1F753" w14:textId="2FAA2895" w:rsidR="00952E35" w:rsidRPr="00952E35" w:rsidRDefault="00952E35" w:rsidP="00952E35">
      <w:pPr>
        <w:rPr>
          <w:rFonts w:asciiTheme="majorHAnsi" w:eastAsiaTheme="minorEastAsia" w:hAnsiTheme="majorHAnsi" w:cstheme="majorHAnsi"/>
        </w:rPr>
      </w:pPr>
    </w:p>
    <w:p w14:paraId="2DE3B8AB" w14:textId="1430381D" w:rsidR="00952E35" w:rsidRPr="00952E35" w:rsidRDefault="00952E35" w:rsidP="00952E35">
      <w:pPr>
        <w:rPr>
          <w:rFonts w:asciiTheme="majorHAnsi" w:eastAsiaTheme="minorEastAsia" w:hAnsiTheme="majorHAnsi" w:cstheme="majorHAnsi"/>
        </w:rPr>
      </w:pPr>
    </w:p>
    <w:p w14:paraId="18E568A9" w14:textId="33ECD0BF" w:rsidR="00952E35" w:rsidRPr="00952E35" w:rsidRDefault="00952E35" w:rsidP="00952E35">
      <w:pPr>
        <w:rPr>
          <w:rFonts w:asciiTheme="majorHAnsi" w:eastAsiaTheme="minorEastAsia" w:hAnsiTheme="majorHAnsi" w:cstheme="majorHAnsi"/>
        </w:rPr>
      </w:pPr>
    </w:p>
    <w:p w14:paraId="1F10EF74" w14:textId="67BEF43A" w:rsidR="00952E35" w:rsidRPr="00952E35" w:rsidRDefault="00952E35" w:rsidP="00952E35">
      <w:pPr>
        <w:rPr>
          <w:rFonts w:asciiTheme="majorHAnsi" w:eastAsiaTheme="minorEastAsia" w:hAnsiTheme="majorHAnsi" w:cstheme="majorHAnsi"/>
        </w:rPr>
      </w:pPr>
    </w:p>
    <w:p w14:paraId="23AC5307" w14:textId="24F9F3FC" w:rsidR="00952E35" w:rsidRPr="00952E35" w:rsidRDefault="00952E35" w:rsidP="00952E35">
      <w:pPr>
        <w:rPr>
          <w:rFonts w:asciiTheme="majorHAnsi" w:eastAsiaTheme="minorEastAsia" w:hAnsiTheme="majorHAnsi" w:cstheme="majorHAnsi"/>
        </w:rPr>
      </w:pPr>
    </w:p>
    <w:p w14:paraId="2411C61E" w14:textId="58EA2FE2" w:rsidR="00952E35" w:rsidRPr="00952E35" w:rsidRDefault="00952E35" w:rsidP="00952E35">
      <w:pPr>
        <w:rPr>
          <w:rFonts w:asciiTheme="majorHAnsi" w:eastAsiaTheme="minorEastAsia" w:hAnsiTheme="majorHAnsi" w:cstheme="majorHAnsi"/>
        </w:rPr>
      </w:pPr>
    </w:p>
    <w:p w14:paraId="2B3BD9C7" w14:textId="321E779E" w:rsidR="00952E35" w:rsidRPr="00952E35" w:rsidRDefault="00952E35" w:rsidP="00952E35">
      <w:pPr>
        <w:rPr>
          <w:rFonts w:asciiTheme="majorHAnsi" w:eastAsiaTheme="minorEastAsia" w:hAnsiTheme="majorHAnsi" w:cstheme="majorHAnsi"/>
        </w:rPr>
      </w:pPr>
    </w:p>
    <w:p w14:paraId="55DFB772" w14:textId="028D8276" w:rsidR="00952E35" w:rsidRPr="00952E35" w:rsidRDefault="00952E35" w:rsidP="00952E35">
      <w:pPr>
        <w:rPr>
          <w:rFonts w:asciiTheme="majorHAnsi" w:eastAsiaTheme="minorEastAsia" w:hAnsiTheme="majorHAnsi" w:cstheme="majorHAnsi"/>
        </w:rPr>
      </w:pPr>
    </w:p>
    <w:p w14:paraId="09D28784" w14:textId="6CA59198" w:rsidR="00952E35" w:rsidRDefault="00952E35" w:rsidP="00952E35">
      <w:pPr>
        <w:rPr>
          <w:rFonts w:asciiTheme="majorHAnsi" w:eastAsiaTheme="minorEastAsia" w:hAnsiTheme="majorHAnsi" w:cstheme="majorHAnsi"/>
        </w:rPr>
      </w:pPr>
    </w:p>
    <w:p w14:paraId="26CF5F5C" w14:textId="40A50BF7" w:rsidR="00952E35" w:rsidRDefault="00952E35" w:rsidP="006B186D">
      <w:pPr>
        <w:jc w:val="both"/>
        <w:rPr>
          <w:rFonts w:asciiTheme="majorHAnsi" w:eastAsiaTheme="minorEastAsia" w:hAnsiTheme="majorHAnsi" w:cstheme="majorHAnsi"/>
        </w:rPr>
      </w:pPr>
      <w:r>
        <w:rPr>
          <w:rFonts w:asciiTheme="majorHAnsi" w:eastAsiaTheme="minorEastAsia" w:hAnsiTheme="majorHAnsi" w:cstheme="majorHAnsi"/>
        </w:rPr>
        <w:t xml:space="preserve">Λόγω της διαφοράς στη συχνότητα δόνησης έκτασης του νιτριλίου μεταξύ του </w:t>
      </w:r>
      <w:r w:rsidRPr="00952E35">
        <w:rPr>
          <w:rFonts w:asciiTheme="majorHAnsi" w:eastAsiaTheme="minorEastAsia" w:hAnsiTheme="majorHAnsi" w:cstheme="majorHAnsi"/>
        </w:rPr>
        <w:t>4</w:t>
      </w:r>
      <w:r>
        <w:rPr>
          <w:rFonts w:asciiTheme="majorHAnsi" w:eastAsiaTheme="minorEastAsia" w:hAnsiTheme="majorHAnsi" w:cstheme="majorHAnsi"/>
          <w:lang w:val="en-US"/>
        </w:rPr>
        <w:t>CP</w:t>
      </w:r>
      <w:r w:rsidRPr="00952E35">
        <w:rPr>
          <w:rFonts w:asciiTheme="majorHAnsi" w:eastAsiaTheme="minorEastAsia" w:hAnsiTheme="majorHAnsi" w:cstheme="majorHAnsi"/>
        </w:rPr>
        <w:t xml:space="preserve"> </w:t>
      </w:r>
      <w:r>
        <w:rPr>
          <w:rFonts w:asciiTheme="majorHAnsi" w:eastAsiaTheme="minorEastAsia" w:hAnsiTheme="majorHAnsi" w:cstheme="majorHAnsi"/>
        </w:rPr>
        <w:t xml:space="preserve">και του </w:t>
      </w:r>
      <w:r w:rsidRPr="00952E35">
        <w:rPr>
          <w:rFonts w:asciiTheme="majorHAnsi" w:eastAsiaTheme="minorEastAsia" w:hAnsiTheme="majorHAnsi" w:cstheme="majorHAnsi"/>
        </w:rPr>
        <w:t>4</w:t>
      </w:r>
      <w:r>
        <w:rPr>
          <w:rFonts w:asciiTheme="majorHAnsi" w:eastAsiaTheme="minorEastAsia" w:hAnsiTheme="majorHAnsi" w:cstheme="majorHAnsi"/>
          <w:lang w:val="en-US"/>
        </w:rPr>
        <w:t>CX</w:t>
      </w:r>
      <w:r w:rsidRPr="00952E35">
        <w:rPr>
          <w:rFonts w:asciiTheme="majorHAnsi" w:eastAsiaTheme="minorEastAsia" w:hAnsiTheme="majorHAnsi" w:cstheme="majorHAnsi"/>
        </w:rPr>
        <w:t xml:space="preserve"> </w:t>
      </w:r>
      <w:r>
        <w:rPr>
          <w:rFonts w:asciiTheme="majorHAnsi" w:eastAsiaTheme="minorEastAsia" w:hAnsiTheme="majorHAnsi" w:cstheme="majorHAnsi"/>
        </w:rPr>
        <w:t xml:space="preserve">το φάσμα του μίγματος δίνει διπλές κορυφές. Οι αντιδράσεις που παρατηρούνται στα παραπάνω φάσματα είναι </w:t>
      </w:r>
      <w:r w:rsidR="006B186D">
        <w:rPr>
          <w:rFonts w:asciiTheme="majorHAnsi" w:eastAsiaTheme="minorEastAsia" w:hAnsiTheme="majorHAnsi" w:cstheme="majorHAnsi"/>
        </w:rPr>
        <w:t xml:space="preserve">η αποπρωτονίωση του </w:t>
      </w:r>
      <w:r w:rsidR="006B186D" w:rsidRPr="006B186D">
        <w:rPr>
          <w:rFonts w:asciiTheme="majorHAnsi" w:eastAsiaTheme="minorEastAsia" w:hAnsiTheme="majorHAnsi" w:cstheme="majorHAnsi"/>
        </w:rPr>
        <w:t>4</w:t>
      </w:r>
      <w:r w:rsidR="006B186D">
        <w:rPr>
          <w:rFonts w:asciiTheme="majorHAnsi" w:eastAsiaTheme="minorEastAsia" w:hAnsiTheme="majorHAnsi" w:cstheme="majorHAnsi"/>
          <w:lang w:val="en-US"/>
        </w:rPr>
        <w:t>CP</w:t>
      </w:r>
      <w:r w:rsidR="006B186D" w:rsidRPr="006B186D">
        <w:rPr>
          <w:rFonts w:asciiTheme="majorHAnsi" w:eastAsiaTheme="minorEastAsia" w:hAnsiTheme="majorHAnsi" w:cstheme="majorHAnsi"/>
        </w:rPr>
        <w:t xml:space="preserve"> </w:t>
      </w:r>
      <w:r w:rsidR="006B186D">
        <w:rPr>
          <w:rFonts w:asciiTheme="majorHAnsi" w:eastAsiaTheme="minorEastAsia" w:hAnsiTheme="majorHAnsi" w:cstheme="majorHAnsi"/>
        </w:rPr>
        <w:t xml:space="preserve">(μπροστά) και η προτωνίωση </w:t>
      </w:r>
      <w:r w:rsidR="006B186D">
        <w:rPr>
          <w:rFonts w:asciiTheme="majorHAnsi" w:eastAsiaTheme="minorEastAsia" w:hAnsiTheme="majorHAnsi" w:cstheme="majorHAnsi"/>
          <w:lang w:val="en-US"/>
        </w:rPr>
        <w:t>toy</w:t>
      </w:r>
      <w:r w:rsidR="006B186D" w:rsidRPr="006B186D">
        <w:rPr>
          <w:rFonts w:asciiTheme="majorHAnsi" w:eastAsiaTheme="minorEastAsia" w:hAnsiTheme="majorHAnsi" w:cstheme="majorHAnsi"/>
        </w:rPr>
        <w:t xml:space="preserve"> </w:t>
      </w:r>
      <w:r w:rsidR="006B186D">
        <w:rPr>
          <w:rFonts w:asciiTheme="majorHAnsi" w:eastAsiaTheme="minorEastAsia" w:hAnsiTheme="majorHAnsi" w:cstheme="majorHAnsi"/>
        </w:rPr>
        <w:t>4</w:t>
      </w:r>
      <w:r w:rsidR="006B186D">
        <w:rPr>
          <w:rFonts w:asciiTheme="majorHAnsi" w:eastAsiaTheme="minorEastAsia" w:hAnsiTheme="majorHAnsi" w:cstheme="majorHAnsi"/>
          <w:lang w:val="en-US"/>
        </w:rPr>
        <w:t>CX</w:t>
      </w:r>
      <w:r w:rsidR="006B186D" w:rsidRPr="006B186D">
        <w:rPr>
          <w:rFonts w:asciiTheme="majorHAnsi" w:eastAsiaTheme="minorEastAsia" w:hAnsiTheme="majorHAnsi" w:cstheme="majorHAnsi"/>
        </w:rPr>
        <w:t xml:space="preserve"> </w:t>
      </w:r>
      <w:r w:rsidR="006B186D">
        <w:rPr>
          <w:rFonts w:asciiTheme="majorHAnsi" w:eastAsiaTheme="minorEastAsia" w:hAnsiTheme="majorHAnsi" w:cstheme="majorHAnsi"/>
        </w:rPr>
        <w:t xml:space="preserve">(πίσω). Λόγω του γεγονότος ότι δεν παρατηρείται τομή μεταξύ των διεργασιών στο φάσμα του μίγματος, προκύπτει το συμπέρασμα ότι η αντίδραση οξέος-βάσης που πραγματοποιείται, απαιτεί παραπάνω χρόνο από μερικά </w:t>
      </w:r>
      <w:proofErr w:type="spellStart"/>
      <w:r w:rsidR="006B186D">
        <w:rPr>
          <w:rFonts w:asciiTheme="majorHAnsi" w:eastAsiaTheme="minorEastAsia" w:hAnsiTheme="majorHAnsi" w:cstheme="majorHAnsi"/>
          <w:lang w:val="en-US"/>
        </w:rPr>
        <w:t>ps</w:t>
      </w:r>
      <w:proofErr w:type="spellEnd"/>
      <w:r w:rsidR="006B186D" w:rsidRPr="006B186D">
        <w:rPr>
          <w:rFonts w:asciiTheme="majorHAnsi" w:eastAsiaTheme="minorEastAsia" w:hAnsiTheme="majorHAnsi" w:cstheme="majorHAnsi"/>
        </w:rPr>
        <w:t>.</w:t>
      </w:r>
    </w:p>
    <w:p w14:paraId="16C8D9E0" w14:textId="191063DF" w:rsidR="006B186D" w:rsidRPr="00D533F7" w:rsidRDefault="006B186D" w:rsidP="006B186D">
      <w:pPr>
        <w:pStyle w:val="2"/>
        <w:rPr>
          <w:rFonts w:eastAsiaTheme="minorEastAsia"/>
        </w:rPr>
      </w:pPr>
      <w:r>
        <w:rPr>
          <w:rFonts w:eastAsiaTheme="minorEastAsia"/>
          <w:lang w:val="en-US"/>
        </w:rPr>
        <w:t>Frequency</w:t>
      </w:r>
      <w:r w:rsidRPr="00D533F7">
        <w:rPr>
          <w:rFonts w:eastAsiaTheme="minorEastAsia"/>
        </w:rPr>
        <w:t>-</w:t>
      </w:r>
      <w:r>
        <w:rPr>
          <w:rFonts w:eastAsiaTheme="minorEastAsia"/>
          <w:lang w:val="en-US"/>
        </w:rPr>
        <w:t>Resolved</w:t>
      </w:r>
      <w:r w:rsidRPr="00D533F7">
        <w:rPr>
          <w:rFonts w:eastAsiaTheme="minorEastAsia"/>
        </w:rPr>
        <w:t xml:space="preserve"> </w:t>
      </w:r>
      <w:r>
        <w:rPr>
          <w:rFonts w:eastAsiaTheme="minorEastAsia"/>
          <w:lang w:val="en-US"/>
        </w:rPr>
        <w:t>Pump</w:t>
      </w:r>
      <w:r w:rsidRPr="00D533F7">
        <w:rPr>
          <w:rFonts w:eastAsiaTheme="minorEastAsia"/>
        </w:rPr>
        <w:t>-</w:t>
      </w:r>
      <w:r>
        <w:rPr>
          <w:rFonts w:eastAsiaTheme="minorEastAsia"/>
          <w:lang w:val="en-US"/>
        </w:rPr>
        <w:t>Probe</w:t>
      </w:r>
      <w:r w:rsidRPr="00D533F7">
        <w:rPr>
          <w:rFonts w:eastAsiaTheme="minorEastAsia"/>
        </w:rPr>
        <w:t xml:space="preserve"> </w:t>
      </w:r>
      <w:r>
        <w:rPr>
          <w:rFonts w:eastAsiaTheme="minorEastAsia"/>
          <w:lang w:val="en-US"/>
        </w:rPr>
        <w:t>Spectroscopy</w:t>
      </w:r>
    </w:p>
    <w:p w14:paraId="24D4273F" w14:textId="65734977" w:rsidR="006B186D" w:rsidRPr="00D533F7" w:rsidRDefault="002B70A9" w:rsidP="00F71E01">
      <w:pPr>
        <w:jc w:val="both"/>
      </w:pPr>
      <w:r>
        <w:t>Στα φάσματα που παρατίθενται</w:t>
      </w:r>
      <w:r w:rsidRPr="002B70A9">
        <w:t xml:space="preserve">, </w:t>
      </w:r>
      <w:r>
        <w:t xml:space="preserve">ο άξονας </w:t>
      </w:r>
      <w:r>
        <w:rPr>
          <w:lang w:val="en-US"/>
        </w:rPr>
        <w:t>x</w:t>
      </w:r>
      <w:r w:rsidRPr="002B70A9">
        <w:t xml:space="preserve"> </w:t>
      </w:r>
      <w:r>
        <w:t xml:space="preserve">δίνει τη συχνότητα του πεδίου </w:t>
      </w:r>
      <w:r>
        <w:rPr>
          <w:lang w:val="en-US"/>
        </w:rPr>
        <w:t>pump</w:t>
      </w:r>
      <w:r w:rsidRPr="002B70A9">
        <w:t>-</w:t>
      </w:r>
      <w:r>
        <w:rPr>
          <w:lang w:val="en-US"/>
        </w:rPr>
        <w:t>probe</w:t>
      </w:r>
      <w:r w:rsidRPr="002B70A9">
        <w:t xml:space="preserve"> </w:t>
      </w:r>
      <w:r>
        <w:t xml:space="preserve">και ο άξονας </w:t>
      </w:r>
      <w:r>
        <w:rPr>
          <w:lang w:val="en-US"/>
        </w:rPr>
        <w:t>y</w:t>
      </w:r>
      <w:r w:rsidRPr="002B70A9">
        <w:t xml:space="preserve"> </w:t>
      </w:r>
      <w:r>
        <w:t>δίνει σε λογαριθμική κλίμακα τον χρόνο αναμονής.</w:t>
      </w:r>
    </w:p>
    <w:p w14:paraId="12D65078" w14:textId="476585D0" w:rsidR="002B70A9" w:rsidRDefault="002B70A9" w:rsidP="00F71E01">
      <w:pPr>
        <w:jc w:val="both"/>
      </w:pPr>
      <w:r>
        <w:t>Παρατηρήθηκε ότι για τη μετάπτωση 1-2 (αρνητική κορυφή), το μέγιστο μετατοπίζεται προς υψηλότερες συχνότητες. Ταυτόχρονα, στη μετάπτωση 0-1 (θετική κορυφή)</w:t>
      </w:r>
      <w:r w:rsidR="00F71E01">
        <w:t xml:space="preserve"> το μέγιστο μετατοπίζεται προς τη μπλε περιοχή, όσο αυξάνει ο χρόνος αναμονής </w:t>
      </w:r>
      <w:r w:rsidR="00F71E01">
        <w:rPr>
          <w:lang w:val="en-US"/>
        </w:rPr>
        <w:t>T</w:t>
      </w:r>
      <w:r w:rsidR="00F71E01" w:rsidRPr="00F71E01">
        <w:t xml:space="preserve">. </w:t>
      </w:r>
      <w:r w:rsidR="00F71E01">
        <w:t xml:space="preserve">Αν ληφθεί υπόψη μόνο ένας αναρμονικός ταλαντωτής, αυτά ευρήματα δε μπορούν να δικαιολογηθούν. Λαμβάνοντας και τα κανονικοποιημένα φάσματα (που είναι απαλλαγμένα από τη συνεισφορά της χαλάρωσης του πληθυσμού), οι τάσεις των μεγίστων δεν αλλάζουν. Έτσι προκύπτει το συμπέρασμα ότι υπάρχουν τουλάχιστον δύο διαφορετικές διεγερμένες δονητικές καταστάσεις, ότι οι σχετικές συνεισφορές τους στο φάσμα </w:t>
      </w:r>
      <w:r w:rsidR="00F71E01">
        <w:rPr>
          <w:lang w:val="en-US"/>
        </w:rPr>
        <w:t>PP</w:t>
      </w:r>
      <w:r w:rsidR="00F71E01" w:rsidRPr="00F71E01">
        <w:t xml:space="preserve"> </w:t>
      </w:r>
      <w:r w:rsidR="00F71E01">
        <w:t xml:space="preserve">μεταβάλλονται με τον </w:t>
      </w:r>
      <w:r w:rsidR="00F71E01">
        <w:rPr>
          <w:lang w:val="en-US"/>
        </w:rPr>
        <w:t>T</w:t>
      </w:r>
      <w:r w:rsidR="00F71E01" w:rsidRPr="00F71E01">
        <w:t xml:space="preserve"> </w:t>
      </w:r>
      <w:r w:rsidR="00F71E01">
        <w:t>και ότι έχουν διαφορετικούς χρόνους ζωής.</w:t>
      </w:r>
    </w:p>
    <w:p w14:paraId="1CCB5F3F" w14:textId="2EAB3AC1" w:rsidR="00F71E01" w:rsidRDefault="00F71E01" w:rsidP="00F71E01">
      <w:pPr>
        <w:jc w:val="both"/>
      </w:pPr>
      <w:r>
        <w:rPr>
          <w:noProof/>
        </w:rPr>
        <w:lastRenderedPageBreak/>
        <mc:AlternateContent>
          <mc:Choice Requires="wps">
            <w:drawing>
              <wp:anchor distT="0" distB="0" distL="114300" distR="114300" simplePos="0" relativeHeight="251669504" behindDoc="0" locked="0" layoutInCell="1" allowOverlap="1" wp14:anchorId="2216CA89" wp14:editId="2AA66238">
                <wp:simplePos x="0" y="0"/>
                <wp:positionH relativeFrom="column">
                  <wp:posOffset>549275</wp:posOffset>
                </wp:positionH>
                <wp:positionV relativeFrom="paragraph">
                  <wp:posOffset>4105910</wp:posOffset>
                </wp:positionV>
                <wp:extent cx="4175760" cy="635"/>
                <wp:effectExtent l="0" t="0" r="0" b="0"/>
                <wp:wrapSquare wrapText="bothSides"/>
                <wp:docPr id="9" name="Πλαίσιο κειμένου 9"/>
                <wp:cNvGraphicFramePr/>
                <a:graphic xmlns:a="http://schemas.openxmlformats.org/drawingml/2006/main">
                  <a:graphicData uri="http://schemas.microsoft.com/office/word/2010/wordprocessingShape">
                    <wps:wsp>
                      <wps:cNvSpPr txBox="1"/>
                      <wps:spPr>
                        <a:xfrm>
                          <a:off x="0" y="0"/>
                          <a:ext cx="4175760" cy="635"/>
                        </a:xfrm>
                        <a:prstGeom prst="rect">
                          <a:avLst/>
                        </a:prstGeom>
                        <a:solidFill>
                          <a:prstClr val="white"/>
                        </a:solidFill>
                        <a:ln>
                          <a:noFill/>
                        </a:ln>
                      </wps:spPr>
                      <wps:txbx>
                        <w:txbxContent>
                          <w:p w14:paraId="46FDCEA9" w14:textId="556A4FB4" w:rsidR="00F71E01" w:rsidRPr="00F70506" w:rsidRDefault="00F71E01" w:rsidP="00F71E01">
                            <w:pPr>
                              <w:pStyle w:val="a3"/>
                              <w:rPr>
                                <w:noProof/>
                              </w:rPr>
                            </w:pPr>
                            <w:r>
                              <w:t xml:space="preserve">Εικόνα </w:t>
                            </w:r>
                            <w:fldSimple w:instr=" SEQ Εικόνα \* ARABIC ">
                              <w:r>
                                <w:rPr>
                                  <w:noProof/>
                                </w:rPr>
                                <w:t>4</w:t>
                              </w:r>
                            </w:fldSimple>
                            <w:r>
                              <w:t xml:space="preserve">: Χρονικά εξαρτώμενα </w:t>
                            </w:r>
                            <w:r>
                              <w:rPr>
                                <w:lang w:val="en-US"/>
                              </w:rPr>
                              <w:t>frequency</w:t>
                            </w:r>
                            <w:r w:rsidRPr="00F71E01">
                              <w:t>-</w:t>
                            </w:r>
                            <w:r>
                              <w:rPr>
                                <w:lang w:val="en-US"/>
                              </w:rPr>
                              <w:t>resolved</w:t>
                            </w:r>
                            <w:r w:rsidRPr="00F71E01">
                              <w:t xml:space="preserve"> </w:t>
                            </w:r>
                            <w:r>
                              <w:rPr>
                                <w:lang w:val="en-US"/>
                              </w:rPr>
                              <w:t>PP</w:t>
                            </w:r>
                            <w:r w:rsidRPr="00F71E01">
                              <w:t xml:space="preserve"> </w:t>
                            </w:r>
                            <w:r>
                              <w:t>φάσματα.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16CA89" id="Πλαίσιο κειμένου 9" o:spid="_x0000_s1029" type="#_x0000_t202" style="position:absolute;left:0;text-align:left;margin-left:43.25pt;margin-top:323.3pt;width:328.8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" stroked="f">
                <v:textbox style="mso-fit-shape-to-text:t" inset="0,0,0,0">
                  <w:txbxContent>
                    <w:p w14:paraId="46FDCEA9" w14:textId="556A4FB4" w:rsidR="00F71E01" w:rsidRPr="00F70506" w:rsidRDefault="00F71E01" w:rsidP="00F71E01">
                      <w:pPr>
                        <w:pStyle w:val="a3"/>
                        <w:rPr>
                          <w:noProof/>
                        </w:rPr>
                      </w:pPr>
                      <w:r>
                        <w:t xml:space="preserve">Εικόνα </w:t>
                      </w:r>
                      <w:fldSimple w:instr=" SEQ Εικόνα \* ARABIC ">
                        <w:r>
                          <w:rPr>
                            <w:noProof/>
                          </w:rPr>
                          <w:t>4</w:t>
                        </w:r>
                      </w:fldSimple>
                      <w:r>
                        <w:t xml:space="preserve">: Χρονικά εξαρτώμενα </w:t>
                      </w:r>
                      <w:r>
                        <w:rPr>
                          <w:lang w:val="en-US"/>
                        </w:rPr>
                        <w:t>frequency</w:t>
                      </w:r>
                      <w:r w:rsidRPr="00F71E01">
                        <w:t>-</w:t>
                      </w:r>
                      <w:r>
                        <w:rPr>
                          <w:lang w:val="en-US"/>
                        </w:rPr>
                        <w:t>resolved</w:t>
                      </w:r>
                      <w:r w:rsidRPr="00F71E01">
                        <w:t xml:space="preserve"> </w:t>
                      </w:r>
                      <w:r>
                        <w:rPr>
                          <w:lang w:val="en-US"/>
                        </w:rPr>
                        <w:t>PP</w:t>
                      </w:r>
                      <w:r w:rsidRPr="00F71E01">
                        <w:t xml:space="preserve"> </w:t>
                      </w:r>
                      <w:r>
                        <w:t>φάσματα.</w:t>
                      </w:r>
                    </w:p>
                  </w:txbxContent>
                </v:textbox>
                <w10:wrap type="square"/>
              </v:shape>
            </w:pict>
          </mc:Fallback>
        </mc:AlternateContent>
      </w:r>
      <w:r w:rsidRPr="00F71E01">
        <w:rPr>
          <w:noProof/>
        </w:rPr>
        <w:drawing>
          <wp:anchor distT="0" distB="0" distL="114300" distR="114300" simplePos="0" relativeHeight="251667456" behindDoc="0" locked="0" layoutInCell="1" allowOverlap="1" wp14:anchorId="289C8F55" wp14:editId="2D97551E">
            <wp:simplePos x="0" y="0"/>
            <wp:positionH relativeFrom="margin">
              <wp:align>center</wp:align>
            </wp:positionH>
            <wp:positionV relativeFrom="paragraph">
              <wp:posOffset>0</wp:posOffset>
            </wp:positionV>
            <wp:extent cx="4175760" cy="4048760"/>
            <wp:effectExtent l="0" t="0" r="0" b="889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5760" cy="4048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9CA76" w14:textId="0D101109" w:rsidR="00F71E01" w:rsidRPr="00F71E01" w:rsidRDefault="00F71E01" w:rsidP="00F71E01"/>
    <w:p w14:paraId="3C6A4236" w14:textId="537AF772" w:rsidR="00F71E01" w:rsidRPr="00F71E01" w:rsidRDefault="00F71E01" w:rsidP="00F71E01"/>
    <w:p w14:paraId="2F73A47C" w14:textId="0279FB3F" w:rsidR="00F71E01" w:rsidRPr="00F71E01" w:rsidRDefault="00F71E01" w:rsidP="00F71E01"/>
    <w:p w14:paraId="1CA85D55" w14:textId="02113743" w:rsidR="00F71E01" w:rsidRPr="00F71E01" w:rsidRDefault="00F71E01" w:rsidP="00F71E01"/>
    <w:p w14:paraId="6981C45A" w14:textId="3256A7AF" w:rsidR="00F71E01" w:rsidRPr="00F71E01" w:rsidRDefault="00F71E01" w:rsidP="00F71E01"/>
    <w:p w14:paraId="416BC023" w14:textId="5DB6D734" w:rsidR="00F71E01" w:rsidRPr="00F71E01" w:rsidRDefault="00F71E01" w:rsidP="00F71E01"/>
    <w:p w14:paraId="4A6AD396" w14:textId="7F43F855" w:rsidR="00F71E01" w:rsidRPr="00F71E01" w:rsidRDefault="00F71E01" w:rsidP="00F71E01"/>
    <w:p w14:paraId="6D9AC2B9" w14:textId="652D1822" w:rsidR="00F71E01" w:rsidRPr="00F71E01" w:rsidRDefault="00F71E01" w:rsidP="00F71E01"/>
    <w:p w14:paraId="0E03C3F8" w14:textId="4181BEFC" w:rsidR="00F71E01" w:rsidRPr="00F71E01" w:rsidRDefault="00F71E01" w:rsidP="00F71E01"/>
    <w:p w14:paraId="2988A4BC" w14:textId="7A249C4E" w:rsidR="00F71E01" w:rsidRPr="00F71E01" w:rsidRDefault="00F71E01" w:rsidP="00F71E01"/>
    <w:p w14:paraId="698D5EA2" w14:textId="6F746842" w:rsidR="00F71E01" w:rsidRPr="00F71E01" w:rsidRDefault="00F71E01" w:rsidP="00F71E01"/>
    <w:p w14:paraId="5FD08C08" w14:textId="5E990A03" w:rsidR="00F71E01" w:rsidRPr="00F71E01" w:rsidRDefault="00F71E01" w:rsidP="00F71E01"/>
    <w:p w14:paraId="3021FFA4" w14:textId="2358F54C" w:rsidR="00F71E01" w:rsidRPr="00F71E01" w:rsidRDefault="00F71E01" w:rsidP="00F71E01"/>
    <w:p w14:paraId="26C7195C" w14:textId="3F24B377" w:rsidR="00F71E01" w:rsidRPr="00F71E01" w:rsidRDefault="00F71E01" w:rsidP="00F71E01"/>
    <w:p w14:paraId="71FE2001" w14:textId="2D96564A" w:rsidR="00F71E01" w:rsidRDefault="00047D12" w:rsidP="0017421E">
      <w:pPr>
        <w:pStyle w:val="1"/>
      </w:pPr>
      <w:r>
        <w:t>ΣΥΖΗΤΗΣΗ</w:t>
      </w:r>
    </w:p>
    <w:p w14:paraId="7B7932EA" w14:textId="3E94EEAE" w:rsidR="0017421E" w:rsidRDefault="0003148D" w:rsidP="0003148D">
      <w:pPr>
        <w:pStyle w:val="2"/>
      </w:pPr>
      <w:r>
        <w:t>Χρόνος Ζωής Δόνησης Έκτασης του Νιτριλίου</w:t>
      </w:r>
    </w:p>
    <w:p w14:paraId="59ED40B2" w14:textId="48DA5817" w:rsidR="0003148D" w:rsidRDefault="0003148D" w:rsidP="0003148D">
      <w:pPr>
        <w:jc w:val="both"/>
      </w:pPr>
      <w:r>
        <w:t xml:space="preserve">Για την μέτρηση του χρόνου ζωής των </w:t>
      </w:r>
      <w:r>
        <w:rPr>
          <w:lang w:val="en-US"/>
        </w:rPr>
        <w:t>CP</w:t>
      </w:r>
      <w:r w:rsidRPr="0003148D">
        <w:t xml:space="preserve"> </w:t>
      </w:r>
      <w:r>
        <w:t xml:space="preserve">και </w:t>
      </w:r>
      <w:r>
        <w:rPr>
          <w:lang w:val="en-US"/>
        </w:rPr>
        <w:t>CX</w:t>
      </w:r>
      <w:r w:rsidRPr="0003148D">
        <w:t xml:space="preserve"> </w:t>
      </w:r>
      <w:r>
        <w:t xml:space="preserve">διενεργήθηκαν πειράματα </w:t>
      </w:r>
      <w:r>
        <w:rPr>
          <w:lang w:val="en-US"/>
        </w:rPr>
        <w:t>Integrated</w:t>
      </w:r>
      <w:r w:rsidRPr="0003148D">
        <w:t xml:space="preserve"> </w:t>
      </w:r>
      <w:r>
        <w:rPr>
          <w:lang w:val="en-US"/>
        </w:rPr>
        <w:t>Photon</w:t>
      </w:r>
      <w:r w:rsidRPr="0003148D">
        <w:t xml:space="preserve"> </w:t>
      </w:r>
      <w:r>
        <w:rPr>
          <w:lang w:val="en-US"/>
        </w:rPr>
        <w:t>Echo</w:t>
      </w:r>
      <w:r w:rsidRPr="0003148D">
        <w:t xml:space="preserve">. </w:t>
      </w:r>
      <w:r>
        <w:t xml:space="preserve">Για τις κυανοφαινόλες οι χρόνοι ζωής που προέκυψαν ακολουθούν τη σειρά </w:t>
      </w:r>
      <w:r w:rsidRPr="0003148D">
        <w:t>4</w:t>
      </w:r>
      <w:r>
        <w:rPr>
          <w:lang w:val="en-US"/>
        </w:rPr>
        <w:t>CP</w:t>
      </w:r>
      <w:r w:rsidRPr="0003148D">
        <w:t>&gt;2</w:t>
      </w:r>
      <w:r>
        <w:rPr>
          <w:lang w:val="en-US"/>
        </w:rPr>
        <w:t>CP</w:t>
      </w:r>
      <w:r w:rsidRPr="0003148D">
        <w:t>&gt;3</w:t>
      </w:r>
      <w:r>
        <w:rPr>
          <w:lang w:val="en-US"/>
        </w:rPr>
        <w:t>CP</w:t>
      </w:r>
      <w:r>
        <w:t xml:space="preserve">, σε απόλυτη αντιστοίχιση με τη σειρά των φαινομένων συντονισμού. Αντίθετα, οι χρόνοι ζωής των κυανοφαινοξειδίων δεν ακολουθούν την ίδια τάση. Ο χρόνος ζωής του </w:t>
      </w:r>
      <w:r w:rsidRPr="0003148D">
        <w:t>2</w:t>
      </w:r>
      <w:r>
        <w:rPr>
          <w:lang w:val="en-US"/>
        </w:rPr>
        <w:t>CX</w:t>
      </w:r>
      <w:r w:rsidRPr="0003148D">
        <w:t xml:space="preserve"> </w:t>
      </w:r>
      <w:r>
        <w:t xml:space="preserve">είναι αρκετά μεγαλύτερος από τους άλλους δύο, και ο χρόνος ζωής του </w:t>
      </w:r>
      <w:r w:rsidRPr="0003148D">
        <w:t>3</w:t>
      </w:r>
      <w:r>
        <w:rPr>
          <w:lang w:val="en-US"/>
        </w:rPr>
        <w:t>CX</w:t>
      </w:r>
      <w:r w:rsidRPr="0003148D">
        <w:t xml:space="preserve"> </w:t>
      </w:r>
      <w:r>
        <w:t>είναι ο μικρότερος. Έτσι, φαίνεται ότι η δονητική χαλάρωση εξαρτάται από ενδομοριακές διαδικασίες και όχι από της αλληλεπιδράσεις διαλύτη-διαλυμένης ουσίας.</w:t>
      </w:r>
    </w:p>
    <w:p w14:paraId="7B725174" w14:textId="30CE0F1E" w:rsidR="0003148D" w:rsidRDefault="0003148D" w:rsidP="0003148D">
      <w:pPr>
        <w:pStyle w:val="2"/>
      </w:pPr>
      <w:r>
        <w:t>Η Εξάρτηση της Σταθεράς Αποσύνθεσης (</w:t>
      </w:r>
      <w:r>
        <w:rPr>
          <w:lang w:val="en-US"/>
        </w:rPr>
        <w:t>Decay</w:t>
      </w:r>
      <w:r w:rsidRPr="0003148D">
        <w:t xml:space="preserve"> </w:t>
      </w:r>
      <w:r>
        <w:rPr>
          <w:lang w:val="en-US"/>
        </w:rPr>
        <w:t>Constant</w:t>
      </w:r>
      <w:r w:rsidRPr="0003148D">
        <w:t xml:space="preserve">) </w:t>
      </w:r>
      <w:r>
        <w:t>από τη Συχνότητα</w:t>
      </w:r>
    </w:p>
    <w:p w14:paraId="6C26C48B" w14:textId="3178BE46" w:rsidR="0003148D" w:rsidRDefault="0003148D" w:rsidP="00B95D56">
      <w:pPr>
        <w:jc w:val="both"/>
      </w:pPr>
      <w:r>
        <w:t xml:space="preserve">Η σταθερά αποσύνθεσης στα φάσματα </w:t>
      </w:r>
      <w:r>
        <w:rPr>
          <w:lang w:val="en-US"/>
        </w:rPr>
        <w:t>Pump</w:t>
      </w:r>
      <w:r w:rsidRPr="0003148D">
        <w:t>-</w:t>
      </w:r>
      <w:r>
        <w:rPr>
          <w:lang w:val="en-US"/>
        </w:rPr>
        <w:t>Probe</w:t>
      </w:r>
      <w:r w:rsidRPr="0003148D">
        <w:t xml:space="preserve"> </w:t>
      </w:r>
      <w:r>
        <w:t>φα</w:t>
      </w:r>
      <w:r w:rsidR="00B95D56">
        <w:t>ί</w:t>
      </w:r>
      <w:r>
        <w:t>νεται να εξαρτάται στενά από τη συχνότητα</w:t>
      </w:r>
      <w:r w:rsidR="00B95D56">
        <w:t xml:space="preserve"> στα πειράματα που διενεργήθηκαν, κάτι που αποτελεί επιπλέον απόδειξη ότι υπάρχουν τουλάχιστον δύο διαφορετικές διεγερμένες δονητικές καταστάσεις. Επιπλέον, βρέθηκε ότι η κορυφή 0-1 αποσυντίθεται σχετικά πιο αργά από την κορυφή 1-2 και για τα έξι δείγματα, υποδεικνύοντας ότι ένα στοιχείο χαμηλότερης συχνότητας έχει μεγαλύτερο χρόνο ζωής από ένα στοιχείο υψηλότερης συχνότητας, αν υπάρχουν δύο συνιστώσες (ή διεγερμένες καταστάσεις) που συνεισφέρουν στο σήμα ενός φάσματος </w:t>
      </w:r>
      <w:r w:rsidR="00B95D56">
        <w:rPr>
          <w:lang w:val="en-US"/>
        </w:rPr>
        <w:t>PP</w:t>
      </w:r>
      <w:r w:rsidR="00B95D56" w:rsidRPr="00B95D56">
        <w:t>.</w:t>
      </w:r>
    </w:p>
    <w:p w14:paraId="00284020" w14:textId="3640459B" w:rsidR="00B95D56" w:rsidRPr="00B95D56" w:rsidRDefault="00B95D56" w:rsidP="00B95D56">
      <w:pPr>
        <w:pStyle w:val="2"/>
      </w:pPr>
      <w:r>
        <w:t xml:space="preserve">Ανάλυση των Συνιστωσών του Φάσματος </w:t>
      </w:r>
      <w:r>
        <w:rPr>
          <w:lang w:val="en-US"/>
        </w:rPr>
        <w:t>PP</w:t>
      </w:r>
      <w:r w:rsidRPr="00B95D56">
        <w:t xml:space="preserve"> </w:t>
      </w:r>
      <w:r>
        <w:t xml:space="preserve">με τη χρήση της Μεθόδου </w:t>
      </w:r>
      <w:r>
        <w:rPr>
          <w:lang w:val="en-US"/>
        </w:rPr>
        <w:t>Singular</w:t>
      </w:r>
      <w:r w:rsidRPr="00B95D56">
        <w:t>-</w:t>
      </w:r>
      <w:r>
        <w:rPr>
          <w:lang w:val="en-US"/>
        </w:rPr>
        <w:t>Value</w:t>
      </w:r>
      <w:r w:rsidRPr="00B95D56">
        <w:t xml:space="preserve"> </w:t>
      </w:r>
      <w:r>
        <w:rPr>
          <w:lang w:val="en-US"/>
        </w:rPr>
        <w:t>Decomposition</w:t>
      </w:r>
      <w:r w:rsidRPr="00B95D56">
        <w:t xml:space="preserve"> </w:t>
      </w:r>
      <w:r>
        <w:rPr>
          <w:lang w:val="en-US"/>
        </w:rPr>
        <w:t>Method</w:t>
      </w:r>
      <w:r w:rsidRPr="00B95D56">
        <w:t xml:space="preserve"> (</w:t>
      </w:r>
      <w:r>
        <w:rPr>
          <w:lang w:val="en-US"/>
        </w:rPr>
        <w:t>SVD</w:t>
      </w:r>
      <w:r w:rsidRPr="00B95D56">
        <w:t>)</w:t>
      </w:r>
    </w:p>
    <w:p w14:paraId="5E4B5E22" w14:textId="40070822" w:rsidR="00B95D56" w:rsidRPr="00D533F7" w:rsidRDefault="00B95D56" w:rsidP="00BA41E9">
      <w:pPr>
        <w:jc w:val="both"/>
      </w:pPr>
      <w:r>
        <w:t>Για την ανάλυση των φασμάτων του πειράματος, που είναι συναρτήσεις του χρόνου και της συχνότητας</w:t>
      </w:r>
      <w:r w:rsidRPr="00B95D56">
        <w:t xml:space="preserve">, </w:t>
      </w:r>
      <m:oMath>
        <m:r>
          <w:rPr>
            <w:rFonts w:ascii="Cambria Math" w:hAnsi="Cambria Math"/>
          </w:rPr>
          <m:t>S(ω,Τ)</m:t>
        </m:r>
      </m:oMath>
      <w:r>
        <w:t xml:space="preserve">, χρησιμοποιήθηκε η μέθοδος </w:t>
      </w:r>
      <w:r>
        <w:rPr>
          <w:lang w:val="en-US"/>
        </w:rPr>
        <w:t>SVD</w:t>
      </w:r>
      <w:r w:rsidRPr="00B95D56">
        <w:t xml:space="preserve">. </w:t>
      </w:r>
      <w:r>
        <w:t xml:space="preserve">Η μέθοδος μετατρέπει την </w:t>
      </w:r>
      <w:r>
        <w:lastRenderedPageBreak/>
        <w:t>παραπάνω συνάρτηση σε γινόμεν</w:t>
      </w:r>
      <w:r w:rsidR="00BA41E9">
        <w:t>ο</w:t>
      </w:r>
      <w:r>
        <w:t xml:space="preserve"> ενός χρονικά εξαρτώμενου πίνακα και ενός εξαρτημένου από τη συχνότητα. Κατ’ αυτόν τον τρόπο προσδιορίσθηκαν τα ιδιοφάσματα και τα χρονικά προφίλ των δύο διεγερμένων δονητικών καταστάσεων που συνεισφέρουν στο σήμα </w:t>
      </w:r>
      <w:r>
        <w:rPr>
          <w:lang w:val="en-US"/>
        </w:rPr>
        <w:t>PP</w:t>
      </w:r>
      <w:r w:rsidRPr="00B95D56">
        <w:t xml:space="preserve">. </w:t>
      </w:r>
    </w:p>
    <w:p w14:paraId="0A7587B3" w14:textId="3867857F" w:rsidR="00BA41E9" w:rsidRDefault="00BA41E9" w:rsidP="00BA41E9">
      <w:pPr>
        <w:jc w:val="both"/>
      </w:pPr>
      <w:r>
        <w:t xml:space="preserve">Το ιδιοφάσμα της κυρίαρχης συνιστώσας προκύπτει να έχει την τυπική μορφή ενός φάσματος </w:t>
      </w:r>
      <w:r>
        <w:rPr>
          <w:lang w:val="en-US"/>
        </w:rPr>
        <w:t>PP</w:t>
      </w:r>
      <w:r w:rsidRPr="00BA41E9">
        <w:t xml:space="preserve">. </w:t>
      </w:r>
      <w:r>
        <w:t xml:space="preserve">Αντίθετα, το ιδιοφάσμα της δευτερεύουσας συνιστώσας ακολουθεί διαφορετικό μοτίβο και δε μπορεί να θεωρηθεί ότι προκύπτει από φάσμα </w:t>
      </w:r>
      <w:r>
        <w:rPr>
          <w:lang w:val="en-US"/>
        </w:rPr>
        <w:t>PP</w:t>
      </w:r>
      <w:r w:rsidRPr="00BA41E9">
        <w:t xml:space="preserve"> </w:t>
      </w:r>
      <w:r>
        <w:t>ενός αναρμονικού ταλαντωτή.</w:t>
      </w:r>
    </w:p>
    <w:p w14:paraId="767937D8" w14:textId="21E33730" w:rsidR="00BA41E9" w:rsidRDefault="00BA41E9" w:rsidP="00BA41E9">
      <w:pPr>
        <w:jc w:val="both"/>
      </w:pPr>
      <w:r>
        <w:t xml:space="preserve">Με βάση την μέθοδο </w:t>
      </w:r>
      <w:r>
        <w:rPr>
          <w:lang w:val="en-US"/>
        </w:rPr>
        <w:t>SVD</w:t>
      </w:r>
      <w:r w:rsidRPr="0036387F">
        <w:t xml:space="preserve"> </w:t>
      </w:r>
      <w:r w:rsidR="0036387F">
        <w:t>προσδιορίσθηκαν τα φάσματα των συνιστωσών και οι σταθερές αποσύνθεσης. Γενικά, η συνιστώσα χαμηλής συχνότητας, ανεξάρτητα από τη σχετική θέση του υποκαταστάτη, έχει μικρότερο χρόνο ζωής από αυτή της συνιστώσας υψηλής συχνότητας. Αυτό εξηγεί τη συμπεριφορά των θετικών κορυφών στην Εικόνα 4.</w:t>
      </w:r>
    </w:p>
    <w:p w14:paraId="24C8FEF0" w14:textId="2F4CAADF" w:rsidR="0036387F" w:rsidRDefault="0036387F" w:rsidP="0036387F">
      <w:pPr>
        <w:pStyle w:val="2"/>
      </w:pPr>
      <w:r>
        <w:t>Ανάλυση Φασματικών Γραμμών</w:t>
      </w:r>
    </w:p>
    <w:p w14:paraId="2B440760" w14:textId="58C6FBDC" w:rsidR="0036387F" w:rsidRDefault="0036387F" w:rsidP="00BE30FF">
      <w:pPr>
        <w:jc w:val="both"/>
      </w:pPr>
      <w:r>
        <w:t>Ενώ είναι γνωστό που οφείλεται η κυρίαρχη συνιστώσα</w:t>
      </w:r>
      <w:r w:rsidR="00BE30FF">
        <w:t xml:space="preserve">, στην δόνηση έκτασης του νιτριλίου, είναι σημαντικό να αποδοθεί και η δευτερεύουσα συνιστώσα. Έχει απορριφθεί η πιθανότητα αυτή να οφείλεται σε σχηματισμό διμερών ή συσσωματωμάτων, καθώς τέτοια φαινόμενα δεν παρατηρούνται εν προκειμένω, όπως αναφέρθηκε. Επίσης, δε μπορεί να αποδοθεί αυτή η συμπεριφορά σε διαφορετικούς τρόπους διάλυσης των κυανοφαινολών και των κυανοφαινοξειδίων, δηλαδή σε διαφορετικό αριθμό δεσμών υδρογόνου με τον διαλύτη. Εν συνεχεία εξετάστηκαν τα φαινόμενα θέρμανσης που παρατηρούνται στο δείγμα όταν αυτό εκτίθεται επανειλημμένα σε δέσμες ενέργειας, τύπου </w:t>
      </w:r>
      <w:r w:rsidR="00BE30FF">
        <w:rPr>
          <w:lang w:val="en-US"/>
        </w:rPr>
        <w:t>pump</w:t>
      </w:r>
      <w:r w:rsidR="00BE30FF">
        <w:t>, αλλά απορρίφθηκε και αυτό το ενδεχόμενο.</w:t>
      </w:r>
    </w:p>
    <w:p w14:paraId="64B91B5C" w14:textId="19BF5CC8" w:rsidR="00BE30FF" w:rsidRDefault="00BE30FF" w:rsidP="00BE30FF">
      <w:pPr>
        <w:jc w:val="both"/>
      </w:pPr>
      <w:r>
        <w:t xml:space="preserve">Τελικά, η ερευνητική ομάδα οδηγήθηκε στο συμπέρασμα ότι υπάρχει μία κατάσταση συνδυασμού, η οποία έχει συχνότητα πολύ κοντινή σε αυτήν της έκτασης δεσμού του </w:t>
      </w:r>
      <w:r>
        <w:rPr>
          <w:lang w:val="en-US"/>
        </w:rPr>
        <w:t>CN</w:t>
      </w:r>
      <w:r w:rsidRPr="00BE30FF">
        <w:t xml:space="preserve">. </w:t>
      </w:r>
      <w:r>
        <w:t xml:space="preserve">Πιστεύεται ότι αυτή η συμπεριφορά οφείλεται σε συνδυασμό της δόνησης έκτασης </w:t>
      </w:r>
      <w:r>
        <w:rPr>
          <w:lang w:val="en-US"/>
        </w:rPr>
        <w:t>C</w:t>
      </w:r>
      <w:r w:rsidRPr="00BE30FF">
        <w:t>=</w:t>
      </w:r>
      <w:r>
        <w:rPr>
          <w:lang w:val="en-US"/>
        </w:rPr>
        <w:t>C</w:t>
      </w:r>
      <w:r w:rsidRPr="00BE30FF">
        <w:t xml:space="preserve"> </w:t>
      </w:r>
      <w:r>
        <w:t xml:space="preserve">του βενζολίου και της δόνησης κάμψης </w:t>
      </w:r>
      <w:r w:rsidR="005E75DF">
        <w:rPr>
          <w:lang w:val="en-US"/>
        </w:rPr>
        <w:t>C</w:t>
      </w:r>
      <w:r w:rsidR="005E75DF" w:rsidRPr="005E75DF">
        <w:t>=</w:t>
      </w:r>
      <w:r w:rsidR="005E75DF">
        <w:rPr>
          <w:lang w:val="en-US"/>
        </w:rPr>
        <w:t>H</w:t>
      </w:r>
      <w:r w:rsidR="005E75DF" w:rsidRPr="005E75DF">
        <w:t xml:space="preserve">, </w:t>
      </w:r>
      <w:r w:rsidR="005E75DF">
        <w:t xml:space="preserve">αλλά κάτι τέτοιο είναι εξαιρετικά δύσκολο να αποδειχθεί. </w:t>
      </w:r>
    </w:p>
    <w:p w14:paraId="5D571CED" w14:textId="376995F4" w:rsidR="005E75DF" w:rsidRDefault="005E75DF" w:rsidP="005E75DF">
      <w:pPr>
        <w:pStyle w:val="2"/>
      </w:pPr>
      <w:r>
        <w:t>Χρόνοι Ζωής των Δονητικά Διεγερμένων Καταστάσεων</w:t>
      </w:r>
    </w:p>
    <w:p w14:paraId="68AA84A9" w14:textId="4DDC5670" w:rsidR="005E75DF" w:rsidRDefault="005E75DF" w:rsidP="005E75DF">
      <w:pPr>
        <w:jc w:val="both"/>
      </w:pPr>
      <w:r>
        <w:t xml:space="preserve">Έχει μεγάλη σημασία ο συσχετισμός του χρόνου ζωής με τη μοριακή δομή. Για παράδειγμα, ο χρόνος ζωής του </w:t>
      </w:r>
      <w:r w:rsidRPr="005E75DF">
        <w:t>3</w:t>
      </w:r>
      <w:r>
        <w:rPr>
          <w:lang w:val="en-US"/>
        </w:rPr>
        <w:t>CP</w:t>
      </w:r>
      <w:r w:rsidRPr="005E75DF">
        <w:t xml:space="preserve"> </w:t>
      </w:r>
      <w:r>
        <w:t xml:space="preserve">είναι παρόμοιος με αυτόν του </w:t>
      </w:r>
      <w:r w:rsidRPr="005E75DF">
        <w:t>3</w:t>
      </w:r>
      <w:r>
        <w:rPr>
          <w:lang w:val="en-US"/>
        </w:rPr>
        <w:t>CX</w:t>
      </w:r>
      <w:r w:rsidRPr="005E75DF">
        <w:t xml:space="preserve"> </w:t>
      </w:r>
      <w:r>
        <w:t xml:space="preserve">κάτι που υποδεικνύει ότι καθορίζεται από ενδομοριακές διαδικασίες δονητικής χαλάρωσης, και όχι από την ιοντική κατάσταση του μορίου. Από την άλλη, ο χρόνος ζωής της δόνησης έκτασης του </w:t>
      </w:r>
      <w:r>
        <w:rPr>
          <w:lang w:val="en-US"/>
        </w:rPr>
        <w:t>CN</w:t>
      </w:r>
      <w:r w:rsidRPr="005E75DF">
        <w:t xml:space="preserve"> </w:t>
      </w:r>
      <w:r>
        <w:t xml:space="preserve">στο </w:t>
      </w:r>
      <w:r w:rsidRPr="005E75DF">
        <w:t>4</w:t>
      </w:r>
      <w:r>
        <w:rPr>
          <w:lang w:val="en-US"/>
        </w:rPr>
        <w:t>CX</w:t>
      </w:r>
      <w:r w:rsidRPr="005E75DF">
        <w:t xml:space="preserve"> </w:t>
      </w:r>
      <w:r>
        <w:t xml:space="preserve">είναι σχεδόν ο μισός από αυτόν στο </w:t>
      </w:r>
      <w:r w:rsidRPr="005E75DF">
        <w:t>4</w:t>
      </w:r>
      <w:r>
        <w:rPr>
          <w:lang w:val="en-US"/>
        </w:rPr>
        <w:t>CP</w:t>
      </w:r>
      <w:r>
        <w:t>, άρα παρατηρείται να είναι έντονη η επιρροή της ιοντικής κατάστασης.</w:t>
      </w:r>
    </w:p>
    <w:p w14:paraId="18ECD272" w14:textId="1172F02C" w:rsidR="005E75DF" w:rsidRPr="00D533F7" w:rsidRDefault="005E75DF" w:rsidP="005E75DF">
      <w:pPr>
        <w:pStyle w:val="2"/>
      </w:pPr>
      <w:r>
        <w:t xml:space="preserve">Προσομοιώσεις </w:t>
      </w:r>
      <w:r>
        <w:rPr>
          <w:lang w:val="en-US"/>
        </w:rPr>
        <w:t>QM</w:t>
      </w:r>
      <w:r w:rsidRPr="00D533F7">
        <w:t>/</w:t>
      </w:r>
      <w:r>
        <w:rPr>
          <w:lang w:val="en-US"/>
        </w:rPr>
        <w:t>MM</w:t>
      </w:r>
      <w:r w:rsidRPr="00D533F7">
        <w:t xml:space="preserve"> </w:t>
      </w:r>
      <w:r>
        <w:rPr>
          <w:lang w:val="en-US"/>
        </w:rPr>
        <w:t>MD</w:t>
      </w:r>
    </w:p>
    <w:p w14:paraId="017470E6" w14:textId="39C0A554" w:rsidR="005E75DF" w:rsidRDefault="004A30B6" w:rsidP="004A30B6">
      <w:pPr>
        <w:jc w:val="both"/>
      </w:pPr>
      <w:r>
        <w:t xml:space="preserve">Για να γίνει κατανοητή η δυναμική των τρόπων έκτασης του δεσμού του νιτριλίου και στις έξι ενώσεις, οι οποίες διαφέρουν μεταξύ τους λόγω ηλεκτρονιακής κατανομής και λόγω των διαφορετικών αλληλεπιδράσεων με τους δεσμούς υδρογόνου στο διάλυμα μεθανόλης πραγματοποιήθηκαν προσομοιώσεις κβαντικής και μοριακής δυναμικής. Τα </w:t>
      </w:r>
      <w:r>
        <w:rPr>
          <w:lang w:val="en-US"/>
        </w:rPr>
        <w:t>CP</w:t>
      </w:r>
      <w:r w:rsidRPr="004A30B6">
        <w:t xml:space="preserve"> </w:t>
      </w:r>
      <w:r>
        <w:t xml:space="preserve">και </w:t>
      </w:r>
      <w:r>
        <w:rPr>
          <w:lang w:val="en-US"/>
        </w:rPr>
        <w:t>CX</w:t>
      </w:r>
      <w:r w:rsidRPr="004A30B6">
        <w:t xml:space="preserve"> </w:t>
      </w:r>
      <w:r>
        <w:t>αντιμετωπίστηκαν με μία ημί-εμπειρική μέθοδο ενώ η μεθανόλη με κλασσική μέθοδο.  Βρέθηκε ότι οι συνιστώσες χαμηλής και υψηλής συχνότητας δεν είναι δυνατόν να οφείλονται σε ετερογένεια κατανομής των διαλυμένων ουσιών, που αποδίδεται σε διαφορετικό αριθμό δεσμών υδρογόνου με τη μεθανόλη, κάτι που επιβεβαιώνει το συμπέρασμα ότι η συνιστώσα υψηλής συχνότητας οφείλεται σε συνδυασμό τρόπων δονήσεως του εκάστοτε μορίου.</w:t>
      </w:r>
    </w:p>
    <w:sdt>
      <w:sdtPr>
        <w:rPr>
          <w:rFonts w:asciiTheme="minorHAnsi" w:eastAsiaTheme="minorHAnsi" w:hAnsiTheme="minorHAnsi" w:cstheme="minorBidi"/>
          <w:color w:val="auto"/>
          <w:sz w:val="22"/>
          <w:szCs w:val="22"/>
        </w:rPr>
        <w:id w:val="-1538192274"/>
        <w:docPartObj>
          <w:docPartGallery w:val="Bibliographies"/>
          <w:docPartUnique/>
        </w:docPartObj>
      </w:sdtPr>
      <w:sdtEndPr/>
      <w:sdtContent>
        <w:p w14:paraId="36489170" w14:textId="4FB96091" w:rsidR="00D533F7" w:rsidRDefault="00D533F7">
          <w:pPr>
            <w:pStyle w:val="1"/>
          </w:pPr>
          <w:r>
            <w:t>Βιβλιογραφία</w:t>
          </w:r>
        </w:p>
        <w:sdt>
          <w:sdtPr>
            <w:id w:val="111145805"/>
            <w:bibliography/>
          </w:sdtPr>
          <w:sdtEndPr/>
          <w:sdtContent>
            <w:p w14:paraId="627DF7F5" w14:textId="77777777" w:rsidR="00D533F7" w:rsidRDefault="00D533F7">
              <w:pPr>
                <w:rPr>
                  <w:noProof/>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7984"/>
              </w:tblGrid>
              <w:tr w:rsidR="00D533F7" w:rsidRPr="00E701E9" w14:paraId="735F0551" w14:textId="77777777">
                <w:trPr>
                  <w:divId w:val="1962152382"/>
                  <w:tblCellSpacing w:w="15" w:type="dxa"/>
                </w:trPr>
                <w:tc>
                  <w:tcPr>
                    <w:tcW w:w="50" w:type="pct"/>
                    <w:hideMark/>
                  </w:tcPr>
                  <w:p w14:paraId="2F64CDCA" w14:textId="66D05C9E" w:rsidR="00D533F7" w:rsidRDefault="00D533F7">
                    <w:pPr>
                      <w:pStyle w:val="a6"/>
                      <w:rPr>
                        <w:noProof/>
                        <w:sz w:val="24"/>
                        <w:szCs w:val="24"/>
                      </w:rPr>
                    </w:pPr>
                    <w:r>
                      <w:rPr>
                        <w:noProof/>
                      </w:rPr>
                      <w:t xml:space="preserve">[1] </w:t>
                    </w:r>
                  </w:p>
                </w:tc>
                <w:tc>
                  <w:tcPr>
                    <w:tcW w:w="0" w:type="auto"/>
                    <w:hideMark/>
                  </w:tcPr>
                  <w:p w14:paraId="49378E68" w14:textId="77777777" w:rsidR="00D533F7" w:rsidRPr="00D533F7" w:rsidRDefault="00D533F7">
                    <w:pPr>
                      <w:pStyle w:val="a6"/>
                      <w:rPr>
                        <w:noProof/>
                        <w:lang w:val="en-US"/>
                      </w:rPr>
                    </w:pPr>
                    <w:r w:rsidRPr="00D533F7">
                      <w:rPr>
                        <w:noProof/>
                        <w:lang w:val="en-US"/>
                      </w:rPr>
                      <w:t xml:space="preserve">J.-H. C. J.-H. H. S.-J. J. M. C. Kyung-Koo Leem Kwang-Hee Park, «Ultrafast Vibrational Spectroscopy of Cyanophenols,» </w:t>
                    </w:r>
                    <w:r w:rsidRPr="00D533F7">
                      <w:rPr>
                        <w:i/>
                        <w:iCs/>
                        <w:noProof/>
                        <w:lang w:val="en-US"/>
                      </w:rPr>
                      <w:t xml:space="preserve">Journal of Physical Chemistry A, </w:t>
                    </w:r>
                    <w:r w:rsidRPr="00D533F7">
                      <w:rPr>
                        <w:noProof/>
                        <w:lang w:val="en-US"/>
                      </w:rPr>
                      <w:t xml:space="preserve">pp. 2757-2767, 17 January 2010. </w:t>
                    </w:r>
                  </w:p>
                </w:tc>
              </w:tr>
              <w:tr w:rsidR="00D533F7" w:rsidRPr="00E701E9" w14:paraId="5C4E0EA2" w14:textId="77777777">
                <w:trPr>
                  <w:divId w:val="1962152382"/>
                  <w:tblCellSpacing w:w="15" w:type="dxa"/>
                </w:trPr>
                <w:tc>
                  <w:tcPr>
                    <w:tcW w:w="50" w:type="pct"/>
                    <w:hideMark/>
                  </w:tcPr>
                  <w:p w14:paraId="1F5BF6F4" w14:textId="77777777" w:rsidR="00D533F7" w:rsidRDefault="00D533F7">
                    <w:pPr>
                      <w:pStyle w:val="a6"/>
                      <w:rPr>
                        <w:noProof/>
                      </w:rPr>
                    </w:pPr>
                    <w:r>
                      <w:rPr>
                        <w:noProof/>
                      </w:rPr>
                      <w:t xml:space="preserve">[2] </w:t>
                    </w:r>
                  </w:p>
                </w:tc>
                <w:tc>
                  <w:tcPr>
                    <w:tcW w:w="0" w:type="auto"/>
                    <w:hideMark/>
                  </w:tcPr>
                  <w:p w14:paraId="261DB24E" w14:textId="77777777" w:rsidR="00D533F7" w:rsidRPr="00D533F7" w:rsidRDefault="00D533F7">
                    <w:pPr>
                      <w:pStyle w:val="a6"/>
                      <w:rPr>
                        <w:noProof/>
                        <w:lang w:val="en-US"/>
                      </w:rPr>
                    </w:pPr>
                    <w:r w:rsidRPr="00D533F7">
                      <w:rPr>
                        <w:noProof/>
                        <w:lang w:val="en-US"/>
                      </w:rPr>
                      <w:t xml:space="preserve">M. D. Fayer, Ultrafast Infrared Vibrational Spectrometry, Florida: CRC Press, Taylor &amp; Francis Group, 2013. </w:t>
                    </w:r>
                  </w:p>
                </w:tc>
              </w:tr>
              <w:tr w:rsidR="00D533F7" w:rsidRPr="00E701E9" w14:paraId="653572E4" w14:textId="77777777">
                <w:trPr>
                  <w:divId w:val="1962152382"/>
                  <w:tblCellSpacing w:w="15" w:type="dxa"/>
                </w:trPr>
                <w:tc>
                  <w:tcPr>
                    <w:tcW w:w="50" w:type="pct"/>
                    <w:hideMark/>
                  </w:tcPr>
                  <w:p w14:paraId="399454D0" w14:textId="77777777" w:rsidR="00D533F7" w:rsidRDefault="00D533F7">
                    <w:pPr>
                      <w:pStyle w:val="a6"/>
                      <w:rPr>
                        <w:noProof/>
                      </w:rPr>
                    </w:pPr>
                    <w:r>
                      <w:rPr>
                        <w:noProof/>
                      </w:rPr>
                      <w:t xml:space="preserve">[3] </w:t>
                    </w:r>
                  </w:p>
                </w:tc>
                <w:tc>
                  <w:tcPr>
                    <w:tcW w:w="0" w:type="auto"/>
                    <w:hideMark/>
                  </w:tcPr>
                  <w:p w14:paraId="0A8681FD" w14:textId="77777777" w:rsidR="00D533F7" w:rsidRPr="00D533F7" w:rsidRDefault="00D533F7">
                    <w:pPr>
                      <w:pStyle w:val="a6"/>
                      <w:rPr>
                        <w:noProof/>
                        <w:lang w:val="en-US"/>
                      </w:rPr>
                    </w:pPr>
                    <w:r w:rsidRPr="00D533F7">
                      <w:rPr>
                        <w:noProof/>
                        <w:lang w:val="en-US"/>
                      </w:rPr>
                      <w:t>G. Group, «Pump Probe Spectroscopy,» MIT, Massachusetts.</w:t>
                    </w:r>
                  </w:p>
                </w:tc>
              </w:tr>
              <w:tr w:rsidR="00D533F7" w:rsidRPr="00E701E9" w14:paraId="519FA342" w14:textId="77777777">
                <w:trPr>
                  <w:divId w:val="1962152382"/>
                  <w:tblCellSpacing w:w="15" w:type="dxa"/>
                </w:trPr>
                <w:tc>
                  <w:tcPr>
                    <w:tcW w:w="50" w:type="pct"/>
                    <w:hideMark/>
                  </w:tcPr>
                  <w:p w14:paraId="4E858692" w14:textId="77777777" w:rsidR="00D533F7" w:rsidRDefault="00D533F7">
                    <w:pPr>
                      <w:pStyle w:val="a6"/>
                      <w:rPr>
                        <w:noProof/>
                      </w:rPr>
                    </w:pPr>
                    <w:r>
                      <w:rPr>
                        <w:noProof/>
                      </w:rPr>
                      <w:t xml:space="preserve">[4] </w:t>
                    </w:r>
                  </w:p>
                </w:tc>
                <w:tc>
                  <w:tcPr>
                    <w:tcW w:w="0" w:type="auto"/>
                    <w:hideMark/>
                  </w:tcPr>
                  <w:p w14:paraId="73885E89" w14:textId="77777777" w:rsidR="00D533F7" w:rsidRPr="00D533F7" w:rsidRDefault="00D533F7">
                    <w:pPr>
                      <w:pStyle w:val="a6"/>
                      <w:rPr>
                        <w:noProof/>
                        <w:lang w:val="en-US"/>
                      </w:rPr>
                    </w:pPr>
                    <w:r w:rsidRPr="00D533F7">
                      <w:rPr>
                        <w:noProof/>
                        <w:lang w:val="en-US"/>
                      </w:rPr>
                      <w:t>Andor, «Transient Spectroscopy | Pump Probe Techniques for Characterizing Excited States of Molecules,» Oxford Learning Center, Oxford, 2020.</w:t>
                    </w:r>
                  </w:p>
                </w:tc>
              </w:tr>
            </w:tbl>
            <w:p w14:paraId="7446ED9F" w14:textId="77777777" w:rsidR="00D533F7" w:rsidRPr="00D533F7" w:rsidRDefault="00D533F7">
              <w:pPr>
                <w:divId w:val="1962152382"/>
                <w:rPr>
                  <w:rFonts w:eastAsia="Times New Roman"/>
                  <w:noProof/>
                  <w:lang w:val="en-US"/>
                </w:rPr>
              </w:pPr>
            </w:p>
            <w:p w14:paraId="1900561F" w14:textId="76239FE1" w:rsidR="00D533F7" w:rsidRDefault="00D533F7">
              <w:r>
                <w:rPr>
                  <w:b/>
                  <w:bCs/>
                </w:rPr>
                <w:fldChar w:fldCharType="end"/>
              </w:r>
            </w:p>
          </w:sdtContent>
        </w:sdt>
      </w:sdtContent>
    </w:sdt>
    <w:p w14:paraId="2E936328" w14:textId="702735FE" w:rsidR="00D533F7" w:rsidRPr="00D533F7" w:rsidRDefault="00F520FE" w:rsidP="004A30B6">
      <w:pPr>
        <w:jc w:val="both"/>
        <w:rPr>
          <w:lang w:val="en-US"/>
        </w:rPr>
      </w:pPr>
      <w:r>
        <w:rPr>
          <w:lang w:val="en-US"/>
        </w:rPr>
        <w:t xml:space="preserve"> </w:t>
      </w:r>
    </w:p>
    <w:sectPr w:rsidR="00D533F7" w:rsidRPr="00D533F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020783"/>
    <w:multiLevelType w:val="hybridMultilevel"/>
    <w:tmpl w:val="8A0433D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5EC"/>
    <w:rsid w:val="00004633"/>
    <w:rsid w:val="0003148D"/>
    <w:rsid w:val="00047D12"/>
    <w:rsid w:val="000E31B6"/>
    <w:rsid w:val="0017421E"/>
    <w:rsid w:val="002141CE"/>
    <w:rsid w:val="002507DE"/>
    <w:rsid w:val="00261B42"/>
    <w:rsid w:val="00275F47"/>
    <w:rsid w:val="002B2CBF"/>
    <w:rsid w:val="002B70A9"/>
    <w:rsid w:val="002C2555"/>
    <w:rsid w:val="003215EC"/>
    <w:rsid w:val="0036387F"/>
    <w:rsid w:val="00371793"/>
    <w:rsid w:val="003B2575"/>
    <w:rsid w:val="003D2300"/>
    <w:rsid w:val="003E6413"/>
    <w:rsid w:val="003F5F8E"/>
    <w:rsid w:val="004371CF"/>
    <w:rsid w:val="004933BC"/>
    <w:rsid w:val="004A30B6"/>
    <w:rsid w:val="004B3BDE"/>
    <w:rsid w:val="004F76FC"/>
    <w:rsid w:val="005B71DC"/>
    <w:rsid w:val="005E75DF"/>
    <w:rsid w:val="00601E49"/>
    <w:rsid w:val="00660E5B"/>
    <w:rsid w:val="006B0C70"/>
    <w:rsid w:val="006B186D"/>
    <w:rsid w:val="006E30D7"/>
    <w:rsid w:val="006F45E3"/>
    <w:rsid w:val="006F7265"/>
    <w:rsid w:val="007006C7"/>
    <w:rsid w:val="007425C8"/>
    <w:rsid w:val="00827CE3"/>
    <w:rsid w:val="008771AB"/>
    <w:rsid w:val="00906745"/>
    <w:rsid w:val="00952E35"/>
    <w:rsid w:val="009A28F4"/>
    <w:rsid w:val="00AC231F"/>
    <w:rsid w:val="00AD328C"/>
    <w:rsid w:val="00AE4939"/>
    <w:rsid w:val="00B95D56"/>
    <w:rsid w:val="00BA41E9"/>
    <w:rsid w:val="00BE30FF"/>
    <w:rsid w:val="00C1373E"/>
    <w:rsid w:val="00C9432D"/>
    <w:rsid w:val="00CD5234"/>
    <w:rsid w:val="00CD670F"/>
    <w:rsid w:val="00D04ED9"/>
    <w:rsid w:val="00D22089"/>
    <w:rsid w:val="00D533F7"/>
    <w:rsid w:val="00D72D11"/>
    <w:rsid w:val="00D82068"/>
    <w:rsid w:val="00D828BF"/>
    <w:rsid w:val="00DE5F71"/>
    <w:rsid w:val="00E701E9"/>
    <w:rsid w:val="00F520FE"/>
    <w:rsid w:val="00F71E0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B4AC4"/>
  <w15:chartTrackingRefBased/>
  <w15:docId w15:val="{8A3D3C29-A2DB-4C76-BB71-712BCFFCE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328C"/>
  </w:style>
  <w:style w:type="paragraph" w:styleId="1">
    <w:name w:val="heading 1"/>
    <w:basedOn w:val="a"/>
    <w:next w:val="a"/>
    <w:link w:val="1Char"/>
    <w:uiPriority w:val="9"/>
    <w:qFormat/>
    <w:rsid w:val="004933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4933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2C2555"/>
    <w:pPr>
      <w:spacing w:after="200" w:line="240" w:lineRule="auto"/>
    </w:pPr>
    <w:rPr>
      <w:i/>
      <w:iCs/>
      <w:color w:val="44546A" w:themeColor="text2"/>
      <w:sz w:val="18"/>
      <w:szCs w:val="18"/>
    </w:rPr>
  </w:style>
  <w:style w:type="character" w:styleId="a4">
    <w:name w:val="Placeholder Text"/>
    <w:basedOn w:val="a0"/>
    <w:uiPriority w:val="99"/>
    <w:semiHidden/>
    <w:rsid w:val="003F5F8E"/>
    <w:rPr>
      <w:color w:val="808080"/>
    </w:rPr>
  </w:style>
  <w:style w:type="paragraph" w:styleId="a5">
    <w:name w:val="List Paragraph"/>
    <w:basedOn w:val="a"/>
    <w:uiPriority w:val="34"/>
    <w:qFormat/>
    <w:rsid w:val="004933BC"/>
    <w:pPr>
      <w:ind w:left="720"/>
      <w:contextualSpacing/>
    </w:pPr>
  </w:style>
  <w:style w:type="character" w:customStyle="1" w:styleId="1Char">
    <w:name w:val="Επικεφαλίδα 1 Char"/>
    <w:basedOn w:val="a0"/>
    <w:link w:val="1"/>
    <w:uiPriority w:val="9"/>
    <w:rsid w:val="004933BC"/>
    <w:rPr>
      <w:rFonts w:asciiTheme="majorHAnsi" w:eastAsiaTheme="majorEastAsia" w:hAnsiTheme="majorHAnsi" w:cstheme="majorBidi"/>
      <w:color w:val="2F5496" w:themeColor="accent1" w:themeShade="BF"/>
      <w:sz w:val="32"/>
      <w:szCs w:val="32"/>
    </w:rPr>
  </w:style>
  <w:style w:type="character" w:customStyle="1" w:styleId="2Char">
    <w:name w:val="Επικεφαλίδα 2 Char"/>
    <w:basedOn w:val="a0"/>
    <w:link w:val="2"/>
    <w:uiPriority w:val="9"/>
    <w:rsid w:val="004933BC"/>
    <w:rPr>
      <w:rFonts w:asciiTheme="majorHAnsi" w:eastAsiaTheme="majorEastAsia" w:hAnsiTheme="majorHAnsi" w:cstheme="majorBidi"/>
      <w:color w:val="2F5496" w:themeColor="accent1" w:themeShade="BF"/>
      <w:sz w:val="26"/>
      <w:szCs w:val="26"/>
    </w:rPr>
  </w:style>
  <w:style w:type="paragraph" w:styleId="a6">
    <w:name w:val="Bibliography"/>
    <w:basedOn w:val="a"/>
    <w:next w:val="a"/>
    <w:uiPriority w:val="37"/>
    <w:unhideWhenUsed/>
    <w:rsid w:val="00D53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859060">
      <w:bodyDiv w:val="1"/>
      <w:marLeft w:val="0"/>
      <w:marRight w:val="0"/>
      <w:marTop w:val="0"/>
      <w:marBottom w:val="0"/>
      <w:divBdr>
        <w:top w:val="none" w:sz="0" w:space="0" w:color="auto"/>
        <w:left w:val="none" w:sz="0" w:space="0" w:color="auto"/>
        <w:bottom w:val="none" w:sz="0" w:space="0" w:color="auto"/>
        <w:right w:val="none" w:sz="0" w:space="0" w:color="auto"/>
      </w:divBdr>
    </w:div>
    <w:div w:id="1033269041">
      <w:bodyDiv w:val="1"/>
      <w:marLeft w:val="0"/>
      <w:marRight w:val="0"/>
      <w:marTop w:val="0"/>
      <w:marBottom w:val="0"/>
      <w:divBdr>
        <w:top w:val="none" w:sz="0" w:space="0" w:color="auto"/>
        <w:left w:val="none" w:sz="0" w:space="0" w:color="auto"/>
        <w:bottom w:val="none" w:sz="0" w:space="0" w:color="auto"/>
        <w:right w:val="none" w:sz="0" w:space="0" w:color="auto"/>
      </w:divBdr>
    </w:div>
    <w:div w:id="1160265730">
      <w:bodyDiv w:val="1"/>
      <w:marLeft w:val="0"/>
      <w:marRight w:val="0"/>
      <w:marTop w:val="0"/>
      <w:marBottom w:val="0"/>
      <w:divBdr>
        <w:top w:val="none" w:sz="0" w:space="0" w:color="auto"/>
        <w:left w:val="none" w:sz="0" w:space="0" w:color="auto"/>
        <w:bottom w:val="none" w:sz="0" w:space="0" w:color="auto"/>
        <w:right w:val="none" w:sz="0" w:space="0" w:color="auto"/>
      </w:divBdr>
    </w:div>
    <w:div w:id="1962152382">
      <w:bodyDiv w:val="1"/>
      <w:marLeft w:val="0"/>
      <w:marRight w:val="0"/>
      <w:marTop w:val="0"/>
      <w:marBottom w:val="0"/>
      <w:divBdr>
        <w:top w:val="none" w:sz="0" w:space="0" w:color="auto"/>
        <w:left w:val="none" w:sz="0" w:space="0" w:color="auto"/>
        <w:bottom w:val="none" w:sz="0" w:space="0" w:color="auto"/>
        <w:right w:val="none" w:sz="0" w:space="0" w:color="auto"/>
      </w:divBdr>
    </w:div>
    <w:div w:id="206710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Kyu10</b:Tag>
    <b:SourceType>ArticleInAPeriodical</b:SourceType>
    <b:Guid>{D27C0310-37DB-4062-9D4F-8226A9C52881}</b:Guid>
    <b:Author>
      <b:Author>
        <b:NameList>
          <b:Person>
            <b:Last>Kyung-Koo Leem Kwang-Hee Park</b:Last>
            <b:First>Jun-Ho</b:First>
            <b:Middle>Choi, Jeong-Hyon Ha, Seung-Joon Jeon, Minhaeng Chp</b:Middle>
          </b:Person>
        </b:NameList>
      </b:Author>
    </b:Author>
    <b:Title>Ultrafast Vibrational Spectroscopy of Cyanophenols</b:Title>
    <b:PeriodicalTitle>Journal of Physical Chemistry A</b:PeriodicalTitle>
    <b:Year>2010</b:Year>
    <b:Month>January</b:Month>
    <b:Day>17</b:Day>
    <b:Pages>2757-2767</b:Pages>
    <b:RefOrder>1</b:RefOrder>
  </b:Source>
  <b:Source>
    <b:Tag>Mic13</b:Tag>
    <b:SourceType>Book</b:SourceType>
    <b:Guid>{1A72C9AE-AA24-4AB1-9BCD-D61D61368AE1}</b:Guid>
    <b:Title>Ultrafast Infrared Vibrational Spectrometry</b:Title>
    <b:Year>2013</b:Year>
    <b:Author>
      <b:Author>
        <b:NameList>
          <b:Person>
            <b:Last>Fayer</b:Last>
            <b:First>Michael</b:First>
            <b:Middle>D.</b:Middle>
          </b:Person>
        </b:NameList>
      </b:Author>
    </b:Author>
    <b:City>Florida</b:City>
    <b:Publisher>CRC Press, Taylor &amp; Francis Group</b:Publisher>
    <b:RefOrder>2</b:RefOrder>
  </b:Source>
  <b:Source>
    <b:Tag>Ged</b:Tag>
    <b:SourceType>Report</b:SourceType>
    <b:Guid>{B3023F9D-C792-4973-811B-5D5AC21212A0}</b:Guid>
    <b:Title>Pump Probe Spectroscopy</b:Title>
    <b:City>Massachusetts</b:City>
    <b:Publisher>MIT</b:Publisher>
    <b:Author>
      <b:Author>
        <b:NameList>
          <b:Person>
            <b:Last>Group</b:Last>
            <b:First>Gedik</b:First>
          </b:Person>
        </b:NameList>
      </b:Author>
    </b:Author>
    <b:RefOrder>3</b:RefOrder>
  </b:Source>
  <b:Source>
    <b:Tag>And20</b:Tag>
    <b:SourceType>Report</b:SourceType>
    <b:Guid>{7F077DC6-BF02-4686-8180-6FBBA9D4308F}</b:Guid>
    <b:Author>
      <b:Author>
        <b:NameList>
          <b:Person>
            <b:Last>Andor</b:Last>
          </b:Person>
        </b:NameList>
      </b:Author>
    </b:Author>
    <b:Title>Transient Spectroscopy | Pump Probe Techniques for Characterizing Excited States of Molecules</b:Title>
    <b:Year>2020</b:Year>
    <b:Publisher>Oxford Learning Center</b:Publisher>
    <b:City>Oxford</b:City>
    <b:RefOrder>4</b:RefOrder>
  </b:Source>
</b:Sources>
</file>

<file path=customXml/itemProps1.xml><?xml version="1.0" encoding="utf-8"?>
<ds:datastoreItem xmlns:ds="http://schemas.openxmlformats.org/officeDocument/2006/customXml" ds:itemID="{E759A402-87C4-4537-8D4C-8EB079FCE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8</Pages>
  <Words>2103</Words>
  <Characters>11359</Characters>
  <Application>Microsoft Office Word</Application>
  <DocSecurity>0</DocSecurity>
  <Lines>94</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Pouli</dc:creator>
  <cp:keywords/>
  <dc:description/>
  <cp:lastModifiedBy>Eva Pouli</cp:lastModifiedBy>
  <cp:revision>9</cp:revision>
  <dcterms:created xsi:type="dcterms:W3CDTF">2021-01-28T11:12:00Z</dcterms:created>
  <dcterms:modified xsi:type="dcterms:W3CDTF">2021-04-12T11:54:00Z</dcterms:modified>
</cp:coreProperties>
</file>